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0.png" ContentType="image/png"/>
  <Override PartName="/word/media/rId22.png" ContentType="image/png"/>
  <Override PartName="/word/media/rId23.png" ContentType="image/png"/>
  <Override PartName="/word/media/rId24.png" ContentType="image/png"/>
  <Override PartName="/word/media/rId25.png" ContentType="image/png"/>
  <Override PartName="/word/media/rId26.png" ContentType="image/png"/>
  <Override PartName="/word/media/rId28.png" ContentType="image/png"/>
  <Override PartName="/word/media/rId29.png" ContentType="image/png"/>
  <Override PartName="/word/media/rId31.png" ContentType="image/png"/>
  <Override PartName="/word/media/rId32.png" ContentType="image/png"/>
  <Override PartName="/word/media/rId34.png" ContentType="image/png"/>
  <Override PartName="/word/media/rId35.png" ContentType="image/png"/>
  <Override PartName="/word/media/rId37.png" ContentType="image/png"/>
  <Override PartName="/word/media/rId38.png" ContentType="image/png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bookmarkStart w:id="40" w:name="geogebra"/>
    <w:p>
      <w:pPr>
        <w:pStyle w:val="Heading1"/>
      </w:pPr>
      <w:r>
        <w:t xml:space="preserve">Geogebra</w:t>
      </w:r>
    </w:p>
    <w:p>
      <w:pPr>
        <w:pStyle w:val="FirstParagraph"/>
      </w:pPr>
      <w:r>
        <w:t xml:space="preserve">Apprenez les mathématiques à travers l’application</w:t>
      </w:r>
      <w:r>
        <w:t xml:space="preserve"> </w:t>
      </w:r>
      <w:r>
        <w:rPr>
          <w:bCs/>
          <w:b/>
        </w:rPr>
        <w:t xml:space="preserve">Geogebra</w:t>
      </w:r>
      <w:r>
        <w:t xml:space="preserve"> </w:t>
      </w:r>
      <w:r>
        <w:t xml:space="preserve">de façon ludique et dynamique.</w:t>
      </w:r>
    </w:p>
    <w:p>
      <w:pPr>
        <w:pStyle w:val="BodyText"/>
      </w:pPr>
      <w:r>
        <w:rPr>
          <w:bCs/>
          <w:b/>
        </w:rPr>
        <w:t xml:space="preserve">Table des matières</w:t>
      </w:r>
      <w:r>
        <w:t xml:space="preserve"> </w:t>
      </w:r>
    </w:p>
    <w:p>
      <w:pPr>
        <w:numPr>
          <w:ilvl w:val="0"/>
          <w:numId w:val="1001"/>
        </w:numPr>
        <w:pStyle w:val="Compact"/>
      </w:pPr>
      <w:hyperlink w:anchor="présentation">
        <w:r>
          <w:rPr>
            <w:rStyle w:val="Hyperlink"/>
          </w:rPr>
          <w:t xml:space="preserve">Présentation</w:t>
        </w:r>
      </w:hyperlink>
    </w:p>
    <w:p>
      <w:pPr>
        <w:numPr>
          <w:ilvl w:val="0"/>
          <w:numId w:val="1001"/>
        </w:numPr>
        <w:pStyle w:val="Compact"/>
      </w:pPr>
      <w:hyperlink w:anchor="créer-un-projet-geogebra">
        <w:r>
          <w:rPr>
            <w:rStyle w:val="Hyperlink"/>
          </w:rPr>
          <w:t xml:space="preserve">Créer un projet Geogebra</w:t>
        </w:r>
      </w:hyperlink>
    </w:p>
    <w:p>
      <w:pPr>
        <w:numPr>
          <w:ilvl w:val="0"/>
          <w:numId w:val="1001"/>
        </w:numPr>
        <w:pStyle w:val="Compact"/>
      </w:pPr>
      <w:hyperlink w:anchor="Xe4910b7b5f0f8de8fba83c7134762435623721d">
        <w:r>
          <w:rPr>
            <w:rStyle w:val="Hyperlink"/>
          </w:rPr>
          <w:t xml:space="preserve">Ouvrir un projet Geogebra depuis Geogebra</w:t>
        </w:r>
      </w:hyperlink>
    </w:p>
    <w:p>
      <w:pPr>
        <w:numPr>
          <w:ilvl w:val="0"/>
          <w:numId w:val="1001"/>
        </w:numPr>
        <w:pStyle w:val="Compact"/>
      </w:pPr>
      <w:hyperlink w:anchor="X672101b25e37cf3383494c7c930e26b4b5219ed">
        <w:r>
          <w:rPr>
            <w:rStyle w:val="Hyperlink"/>
          </w:rPr>
          <w:t xml:space="preserve">Ouvrir un projet Geogebra depuis Espace Documentaire</w:t>
        </w:r>
      </w:hyperlink>
    </w:p>
    <w:p>
      <w:pPr>
        <w:numPr>
          <w:ilvl w:val="0"/>
          <w:numId w:val="1001"/>
        </w:numPr>
        <w:pStyle w:val="Compact"/>
      </w:pPr>
      <w:hyperlink w:anchor="enregistrer-un-projet-geogebra">
        <w:r>
          <w:rPr>
            <w:rStyle w:val="Hyperlink"/>
          </w:rPr>
          <w:t xml:space="preserve">Enregistrer un projet Geogebra</w:t>
        </w:r>
      </w:hyperlink>
    </w:p>
    <w:p>
      <w:pPr>
        <w:numPr>
          <w:ilvl w:val="0"/>
          <w:numId w:val="1001"/>
        </w:numPr>
        <w:pStyle w:val="Compact"/>
      </w:pPr>
      <w:hyperlink w:anchor="modifier-un-projet-geogebra">
        <w:r>
          <w:rPr>
            <w:rStyle w:val="Hyperlink"/>
          </w:rPr>
          <w:t xml:space="preserve">Modifier un projet Geogebra</w:t>
        </w:r>
      </w:hyperlink>
    </w:p>
    <w:bookmarkStart w:id="21" w:name="présentation"/>
    <w:p>
      <w:pPr>
        <w:pStyle w:val="Heading2"/>
      </w:pPr>
      <w:r>
        <w:t xml:space="preserve">Présentation</w:t>
      </w:r>
    </w:p>
    <w:p>
      <w:pPr>
        <w:pStyle w:val="FirstParagraph"/>
      </w:pPr>
      <w:r>
        <w:rPr>
          <w:bCs/>
          <w:b/>
        </w:rPr>
        <w:t xml:space="preserve">Geogebra</w:t>
      </w:r>
      <w:r>
        <w:t xml:space="preserve"> </w:t>
      </w:r>
      <w:r>
        <w:t xml:space="preserve">est un outil proposant différentes activités interactives et dynamiques autour l’</w:t>
      </w:r>
      <w:r>
        <w:rPr>
          <w:bCs/>
          <w:b/>
        </w:rPr>
        <w:t xml:space="preserve">enseignement des mathématiques</w:t>
      </w:r>
      <w:r>
        <w:t xml:space="preserve"> </w:t>
      </w:r>
      <w:r>
        <w:t xml:space="preserve">du secondaire. En effet, on peut y retrouver des notions comme l’étude de fonctions, les probabilités, la géométrie dans l’espace et la trigonométrie.</w:t>
      </w:r>
    </w:p>
    <w:p>
      <w:pPr>
        <w:pStyle w:val="BodyText"/>
      </w:pPr>
      <w:r>
        <w:t xml:space="preserve">L’application permet ainsi de</w:t>
      </w:r>
      <w:r>
        <w:t xml:space="preserve"> </w:t>
      </w:r>
      <w:r>
        <w:rPr>
          <w:bCs/>
          <w:b/>
        </w:rPr>
        <w:t xml:space="preserve">manipuler des objets géométriques</w:t>
      </w:r>
      <w:r>
        <w:t xml:space="preserve"> </w:t>
      </w:r>
      <w:r>
        <w:t xml:space="preserve">de façon dynamique, tels que des cercles, droites, angles par exemple, tout en ayant accès à un ensemble de fonctions algébriques.</w:t>
      </w:r>
    </w:p>
    <w:p>
      <w:pPr>
        <w:pStyle w:val="BodyText"/>
      </w:pPr>
      <w:r>
        <w:drawing>
          <wp:inline>
            <wp:extent cx="5334000" cy="250067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1-presentation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50067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1"/>
    <w:bookmarkStart w:id="27" w:name="créer-un-projet-geogebra"/>
    <w:p>
      <w:pPr>
        <w:pStyle w:val="Heading2"/>
      </w:pPr>
      <w:r>
        <w:t xml:space="preserve">Créer un projet Geogebra</w:t>
      </w:r>
    </w:p>
    <w:p>
      <w:pPr>
        <w:pStyle w:val="FirstParagraph"/>
      </w:pPr>
      <w:r>
        <w:t xml:space="preserve">Pour accéder à l’application</w:t>
      </w:r>
      <w:r>
        <w:t xml:space="preserve"> </w:t>
      </w:r>
      <w:r>
        <w:rPr>
          <w:bCs/>
          <w:b/>
        </w:rPr>
        <w:t xml:space="preserve">Geogebra</w:t>
      </w:r>
      <w:r>
        <w:t xml:space="preserve">, cliquez sur l’icône correspondant dans la page</w:t>
      </w:r>
      <w:r>
        <w:t xml:space="preserve"> </w:t>
      </w:r>
      <w:r>
        <w:rPr>
          <w:bCs/>
          <w:b/>
        </w:rPr>
        <w:t xml:space="preserve">« Mes applis »</w:t>
      </w:r>
      <w:r>
        <w:t xml:space="preserve">.</w:t>
      </w:r>
    </w:p>
    <w:p>
      <w:pPr>
        <w:pStyle w:val="BodyText"/>
      </w:pPr>
      <w:r>
        <w:drawing>
          <wp:inline>
            <wp:extent cx="4694944" cy="2320578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2-créer-un-projet-geogebra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944" cy="232057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Le module Geogebra s’ouvre et cette interface apparait :</w:t>
      </w:r>
    </w:p>
    <w:p>
      <w:pPr>
        <w:pStyle w:val="BodyText"/>
      </w:pPr>
      <w:r>
        <w:drawing>
          <wp:inline>
            <wp:extent cx="5334000" cy="247087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2-créer-un-projet-geogebra-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7087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Pour commencer, il vous suffit de cliquer sur la</w:t>
      </w:r>
      <w:r>
        <w:t xml:space="preserve"> </w:t>
      </w:r>
      <w:r>
        <w:rPr>
          <w:bCs/>
          <w:b/>
        </w:rPr>
        <w:t xml:space="preserve">barre d’outils</w:t>
      </w:r>
      <w:r>
        <w:t xml:space="preserve"> </w:t>
      </w:r>
      <w:r>
        <w:t xml:space="preserve">pour</w:t>
      </w:r>
      <w:r>
        <w:t xml:space="preserve"> </w:t>
      </w:r>
      <w:r>
        <w:rPr>
          <w:bCs/>
          <w:b/>
        </w:rPr>
        <w:t xml:space="preserve">choisir les objets géométriques</w:t>
      </w:r>
      <w:r>
        <w:t xml:space="preserve"> </w:t>
      </w:r>
      <w:r>
        <w:t xml:space="preserve">que vous souhaitez ajouter à votre projet.</w:t>
      </w:r>
    </w:p>
    <w:p>
      <w:pPr>
        <w:pStyle w:val="BodyText"/>
      </w:pPr>
      <w:r>
        <w:t xml:space="preserve">Vous pouvez les ajouter en cliquant ensuite dans la</w:t>
      </w:r>
      <w:r>
        <w:t xml:space="preserve"> </w:t>
      </w:r>
      <w:r>
        <w:rPr>
          <w:bCs/>
          <w:b/>
        </w:rPr>
        <w:t xml:space="preserve">fenêtre géométrique</w:t>
      </w:r>
      <w:r>
        <w:t xml:space="preserve">.</w:t>
      </w:r>
    </w:p>
    <w:p>
      <w:pPr>
        <w:pStyle w:val="BodyText"/>
      </w:pPr>
      <w:r>
        <w:t xml:space="preserve">A chaque objet créé, sa définition algébrique est disponible dans la</w:t>
      </w:r>
      <w:r>
        <w:t xml:space="preserve"> </w:t>
      </w:r>
      <w:r>
        <w:rPr>
          <w:bCs/>
          <w:b/>
        </w:rPr>
        <w:t xml:space="preserve">fenêtre algébrique</w:t>
      </w:r>
      <w:r>
        <w:t xml:space="preserve"> </w:t>
      </w:r>
      <w:r>
        <w:t xml:space="preserve">(pour un point : ses coordonnées, pour une droite : son équation etc.).</w:t>
      </w:r>
    </w:p>
    <w:p>
      <w:pPr>
        <w:pStyle w:val="BodyText"/>
      </w:pPr>
      <w:r>
        <w:t xml:space="preserve">La</w:t>
      </w:r>
      <w:r>
        <w:t xml:space="preserve"> </w:t>
      </w:r>
      <w:r>
        <w:rPr>
          <w:bCs/>
          <w:b/>
        </w:rPr>
        <w:t xml:space="preserve">zone de saisie</w:t>
      </w:r>
      <w:r>
        <w:t xml:space="preserve"> </w:t>
      </w:r>
      <w:r>
        <w:t xml:space="preserve">permet de faire avec le clavier tout ce qui est fait avec la souris.</w:t>
      </w:r>
    </w:p>
    <w:p>
      <w:pPr>
        <w:pStyle w:val="BodyText"/>
      </w:pPr>
      <w:r>
        <w:drawing>
          <wp:inline>
            <wp:extent cx="5334000" cy="269705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2-créer-un-projet-geogebra-3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69705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 est également possible de</w:t>
      </w:r>
      <w:r>
        <w:t xml:space="preserve"> </w:t>
      </w:r>
      <w:r>
        <w:rPr>
          <w:bCs/>
          <w:b/>
        </w:rPr>
        <w:t xml:space="preserve">créer un nouveau projet Geogebra</w:t>
      </w:r>
      <w:r>
        <w:t xml:space="preserve"> </w:t>
      </w:r>
      <w:r>
        <w:t xml:space="preserve">en cliquant sur le bouton</w:t>
      </w:r>
      <w:r>
        <w:t xml:space="preserve"> </w:t>
      </w:r>
      <w:r>
        <w:rPr>
          <w:bCs/>
          <w:b/>
        </w:rPr>
        <w:t xml:space="preserve">« Nouveau projet Geogebra »</w:t>
      </w:r>
      <w:r>
        <w:t xml:space="preserve">. Cette action permet de vider le projet et d’en créer un nouveau.</w:t>
      </w:r>
    </w:p>
    <w:p>
      <w:pPr>
        <w:pStyle w:val="BodyText"/>
      </w:pPr>
      <w:r>
        <w:drawing>
          <wp:inline>
            <wp:extent cx="5334000" cy="250067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2-créer-un-projet-geogebra-4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50067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pop-up de confirmation apparait, vous permettant d’</w:t>
      </w:r>
      <w:r>
        <w:rPr>
          <w:bCs/>
          <w:b/>
        </w:rPr>
        <w:t xml:space="preserve">éviter de perdre</w:t>
      </w:r>
      <w:r>
        <w:t xml:space="preserve"> </w:t>
      </w:r>
      <w:r>
        <w:t xml:space="preserve">un projet que vous n’auriez pas enregistré.</w:t>
      </w:r>
    </w:p>
    <w:p>
      <w:pPr>
        <w:pStyle w:val="BodyText"/>
      </w:pPr>
      <w:r>
        <w:drawing>
          <wp:inline>
            <wp:extent cx="3542339" cy="127554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2-créer-un-projet-geogebra-5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339" cy="127554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7"/>
    <w:bookmarkStart w:id="30" w:name="Xe4910b7b5f0f8de8fba83c7134762435623721d"/>
    <w:p>
      <w:pPr>
        <w:pStyle w:val="Heading2"/>
      </w:pPr>
      <w:r>
        <w:t xml:space="preserve">Ouvrir un projet Geogebra depuis Geogebra</w:t>
      </w:r>
    </w:p>
    <w:p>
      <w:pPr>
        <w:pStyle w:val="FirstParagraph"/>
      </w:pPr>
      <w:r>
        <w:t xml:space="preserve">Depuis</w:t>
      </w:r>
      <w:r>
        <w:t xml:space="preserve"> </w:t>
      </w:r>
      <w:r>
        <w:rPr>
          <w:bCs/>
          <w:b/>
        </w:rPr>
        <w:t xml:space="preserve">Geogebra</w:t>
      </w:r>
      <w:r>
        <w:t xml:space="preserve">, il est possible d’</w:t>
      </w:r>
      <w:r>
        <w:rPr>
          <w:bCs/>
          <w:b/>
        </w:rPr>
        <w:t xml:space="preserve">ouvrir un projet déjà existant</w:t>
      </w:r>
      <w:r>
        <w:t xml:space="preserve">. Pour cela, il vous suffit de cliquer sur</w:t>
      </w:r>
      <w:r>
        <w:t xml:space="preserve"> </w:t>
      </w:r>
      <w:r>
        <w:rPr>
          <w:bCs/>
          <w:b/>
        </w:rPr>
        <w:t xml:space="preserve">« Ouvrir »</w:t>
      </w:r>
      <w:r>
        <w:t xml:space="preserve">.</w:t>
      </w:r>
    </w:p>
    <w:p>
      <w:pPr>
        <w:pStyle w:val="BodyText"/>
      </w:pPr>
      <w:r>
        <w:drawing>
          <wp:inline>
            <wp:extent cx="5334000" cy="250067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3-ouvrir-un-projet-geogebra-depuis-geogebra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50067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pop-up s’ouvre pour vous permettre :</w:t>
      </w:r>
    </w:p>
    <w:p>
      <w:pPr>
        <w:numPr>
          <w:ilvl w:val="0"/>
          <w:numId w:val="1002"/>
        </w:numPr>
      </w:pPr>
      <w:r>
        <w:t xml:space="preserve">d’</w:t>
      </w:r>
      <w:r>
        <w:rPr>
          <w:bCs/>
          <w:b/>
        </w:rPr>
        <w:t xml:space="preserve">importer</w:t>
      </w:r>
      <w:r>
        <w:t xml:space="preserve"> </w:t>
      </w:r>
      <w:r>
        <w:t xml:space="preserve">un projet Geogebra depuis votre ordinateur</w:t>
      </w:r>
    </w:p>
    <w:p>
      <w:pPr>
        <w:numPr>
          <w:ilvl w:val="0"/>
          <w:numId w:val="1002"/>
        </w:numPr>
      </w:pPr>
      <w:r>
        <w:t xml:space="preserve">de</w:t>
      </w:r>
      <w:r>
        <w:t xml:space="preserve"> </w:t>
      </w:r>
      <w:r>
        <w:rPr>
          <w:bCs/>
          <w:b/>
        </w:rPr>
        <w:t xml:space="preserve">choisir</w:t>
      </w:r>
      <w:r>
        <w:t xml:space="preserve"> </w:t>
      </w:r>
      <w:r>
        <w:t xml:space="preserve">un projet Geogebra présent dans votre espace documentaire</w:t>
      </w:r>
    </w:p>
    <w:p>
      <w:pPr>
        <w:pStyle w:val="FirstParagraph"/>
      </w:pPr>
      <w:r>
        <w:drawing>
          <wp:inline>
            <wp:extent cx="5334000" cy="246671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3-ouvrir-un-projet-geogebra-depuis-geogebra-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6671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fois sélectionné et ajouté, le projet est ouvert dans Geogebra.</w:t>
      </w:r>
    </w:p>
    <w:bookmarkEnd w:id="30"/>
    <w:bookmarkStart w:id="33" w:name="X672101b25e37cf3383494c7c930e26b4b5219ed"/>
    <w:p>
      <w:pPr>
        <w:pStyle w:val="Heading2"/>
      </w:pPr>
      <w:r>
        <w:t xml:space="preserve">Ouvrir un projet Geogebra depuis Espace Documentaire</w:t>
      </w:r>
    </w:p>
    <w:p>
      <w:pPr>
        <w:pStyle w:val="FirstParagraph"/>
      </w:pPr>
      <w:r>
        <w:t xml:space="preserve">Depuis l’</w:t>
      </w:r>
      <w:r>
        <w:rPr>
          <w:bCs/>
          <w:b/>
        </w:rPr>
        <w:t xml:space="preserve">Espace Documentaire</w:t>
      </w:r>
      <w:r>
        <w:t xml:space="preserve">, il est également possible d’</w:t>
      </w:r>
      <w:r>
        <w:rPr>
          <w:bCs/>
          <w:b/>
        </w:rPr>
        <w:t xml:space="preserve">ouvrir un projet Geogebra déjà existant</w:t>
      </w:r>
      <w:r>
        <w:t xml:space="preserve">. Pour cela, il vous suffit de</w:t>
      </w:r>
      <w:r>
        <w:t xml:space="preserve"> </w:t>
      </w:r>
      <w:r>
        <w:rPr>
          <w:bCs/>
          <w:b/>
        </w:rPr>
        <w:t xml:space="preserve">sélectionner le projet Geogebra</w:t>
      </w:r>
      <w:r>
        <w:t xml:space="preserve"> </w:t>
      </w:r>
      <w:r>
        <w:t xml:space="preserve">dans votre espace documentaire et de cliquer sur l’option</w:t>
      </w:r>
      <w:r>
        <w:t xml:space="preserve"> </w:t>
      </w:r>
      <w:r>
        <w:rPr>
          <w:bCs/>
          <w:b/>
        </w:rPr>
        <w:t xml:space="preserve">« Editer »</w:t>
      </w:r>
      <w:r>
        <w:t xml:space="preserve"> </w:t>
      </w:r>
      <w:r>
        <w:t xml:space="preserve">du bandeau orange situé en bas de la page.</w:t>
      </w:r>
    </w:p>
    <w:p>
      <w:pPr>
        <w:pStyle w:val="BodyText"/>
      </w:pPr>
      <w:r>
        <w:drawing>
          <wp:inline>
            <wp:extent cx="5334000" cy="229869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4-ouvrir-un-projet-geogebra-depuis-espace-documentaire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9869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Suite à cette action, un nouvel onglet Geogebra s’ouvre avec le projet.</w:t>
      </w:r>
    </w:p>
    <w:p>
      <w:pPr>
        <w:pStyle w:val="BodyText"/>
      </w:pPr>
      <w:r>
        <w:drawing>
          <wp:inline>
            <wp:extent cx="5334000" cy="232440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4-ouvrir-un-projet-geogebra-depuis-espace-documentaire-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32440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3"/>
    <w:bookmarkStart w:id="36" w:name="enregistrer-un-projet-geogebra"/>
    <w:p>
      <w:pPr>
        <w:pStyle w:val="Heading2"/>
      </w:pPr>
      <w:r>
        <w:t xml:space="preserve">Enregistrer un projet Geogebra</w:t>
      </w:r>
    </w:p>
    <w:p>
      <w:pPr>
        <w:pStyle w:val="FirstParagraph"/>
      </w:pPr>
      <w:r>
        <w:t xml:space="preserve">Suite à la création d’un nouveau projet Geogebra, il est possible de</w:t>
      </w:r>
      <w:r>
        <w:t xml:space="preserve"> </w:t>
      </w:r>
      <w:r>
        <w:rPr>
          <w:bCs/>
          <w:b/>
        </w:rPr>
        <w:t xml:space="preserve">l’enregistrer directement dans l’espace documentaire</w:t>
      </w:r>
      <w:r>
        <w:t xml:space="preserve"> </w:t>
      </w:r>
      <w:r>
        <w:t xml:space="preserve">en cliquant sur</w:t>
      </w:r>
      <w:r>
        <w:t xml:space="preserve"> </w:t>
      </w:r>
      <w:r>
        <w:rPr>
          <w:bCs/>
          <w:b/>
        </w:rPr>
        <w:t xml:space="preserve">« Enregistrer »</w:t>
      </w:r>
      <w:r>
        <w:t xml:space="preserve">. Le projet sera enregistré automatiquement dans le dossier</w:t>
      </w:r>
      <w:r>
        <w:t xml:space="preserve"> </w:t>
      </w:r>
      <w:r>
        <w:rPr>
          <w:bCs/>
          <w:b/>
        </w:rPr>
        <w:t xml:space="preserve">« Documents ajoutés dans les applis »</w:t>
      </w:r>
      <w:r>
        <w:t xml:space="preserve">.</w:t>
      </w:r>
    </w:p>
    <w:p>
      <w:pPr>
        <w:pStyle w:val="BodyText"/>
      </w:pPr>
      <w:r>
        <w:drawing>
          <wp:inline>
            <wp:extent cx="5334000" cy="250067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5-enregistrer-un-projet-geogebra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50067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drawing>
          <wp:inline>
            <wp:extent cx="5072513" cy="131866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5-enregistrer-un-projet-geogebra-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513" cy="131866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6"/>
    <w:bookmarkStart w:id="39" w:name="modifier-un-projet-geogebra"/>
    <w:p>
      <w:pPr>
        <w:pStyle w:val="Heading2"/>
      </w:pPr>
      <w:r>
        <w:t xml:space="preserve">Modifier un projet Geogebra</w:t>
      </w:r>
    </w:p>
    <w:p>
      <w:pPr>
        <w:pStyle w:val="FirstParagraph"/>
      </w:pPr>
      <w:r>
        <w:t xml:space="preserve">Suite à l’ouverture d’un projet Geogebra déjà existant, il est possible de</w:t>
      </w:r>
      <w:r>
        <w:t xml:space="preserve"> </w:t>
      </w:r>
      <w:r>
        <w:rPr>
          <w:bCs/>
          <w:b/>
        </w:rPr>
        <w:t xml:space="preserve">le modifier en y ajoutant différents objets géométriques</w:t>
      </w:r>
      <w:r>
        <w:t xml:space="preserve"> </w:t>
      </w:r>
      <w:r>
        <w:t xml:space="preserve">par exemple. Pour</w:t>
      </w:r>
      <w:r>
        <w:t xml:space="preserve"> </w:t>
      </w:r>
      <w:r>
        <w:rPr>
          <w:bCs/>
          <w:b/>
        </w:rPr>
        <w:t xml:space="preserve">enregistrer la modification effectuée</w:t>
      </w:r>
      <w:r>
        <w:t xml:space="preserve">, il vous suffit de cliquer sur</w:t>
      </w:r>
      <w:r>
        <w:t xml:space="preserve"> </w:t>
      </w:r>
      <w:r>
        <w:rPr>
          <w:bCs/>
          <w:b/>
        </w:rPr>
        <w:t xml:space="preserve">« Enregistrer »</w:t>
      </w:r>
      <w:r>
        <w:t xml:space="preserve">.</w:t>
      </w:r>
    </w:p>
    <w:p>
      <w:pPr>
        <w:pStyle w:val="BodyText"/>
      </w:pPr>
      <w:r>
        <w:t xml:space="preserve">La version du projet ouverte sera modifiée et enregistrée à l’endroit où celui-ci a été ouvert.</w:t>
      </w:r>
    </w:p>
    <w:p>
      <w:pPr>
        <w:pStyle w:val="BodyText"/>
      </w:pPr>
      <w:r>
        <w:drawing>
          <wp:inline>
            <wp:extent cx="5334000" cy="2476092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6-modifier-un-projet-geogebra-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7609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drawing>
          <wp:inline>
            <wp:extent cx="4710312" cy="1114184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geogebra/06-modifier-un-projet-geogebra-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0312" cy="1114184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9"/>
    <w:bookmarkEnd w:id="40"/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A990"/>
    <w:multiLevelType w:val="multilevel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991">
    <w:nsid w:val="A991"/>
    <w:multiLevelType w:val="multilevel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num w:numId="1000">
    <w:abstractNumId w:val="990"/>
  </w:num>
  <w:num w:numId="1001">
    <w:abstractNumId w:val="991"/>
  </w:num>
  <w:num w:numId="1002">
    <w:abstractNumId w:val="991"/>
  </w:num>
</w:numbering>
</file>

<file path=word/settings.xml><?xml version="1.0" encoding="utf-8"?>
<w:settings xmlns:m="http://schemas.openxmlformats.org/officeDocument/2006/math" xmlns:o="urn:schemas-microsoft-com:office:offic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>
  <w:stylePaneFormatFilter w:val="0004"/>
  <w:footnotePr>
    <w:footnote w:id="-1"/>
    <w:footnote w:id="0"/>
  </w:footnotePr>
  <w:rsids>
  </w:rsids>
  <w:clrSchemeMapping w:accent1="accent1" w:accent2="accent2" w:accent3="accent3" w:accent4="accent4" w:accent5="accent5" w:accent6="accent6" w:bg1="light1" w:bg2="light2" w:followedHyperlink="followedHyperlink" w:hyperlink="hyperlink" w:t1="dark1" w:t2="dark2"/>
  <w:zoom w:percent="100"/>
  <w:embedSystemFonts/>
  <w:proofState w:grammar="clean"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m:mathPr>
    <m:mathFont m:val="Cambria Math"/>
    <m:brkBin m:val="before"/>
    <m:brkBinSub m:val="--"/>
    <m:smallFrac m:val="0"/>
    <m:dispDef/>
    <m:lMargin m:val="0"/>
    <m:rMargin m:val="0"/>
    <m:wrapRight/>
    <m:intLim m:val="subSup"/>
    <m:naryLim m:val="undOvr"/>
  </m:mathPr>
  <w:themeFontLang w:val="en-US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Bidi" w:eastAsiaTheme="minorHAnsi" w:hAnsiTheme="minorHAnsi"/>
        <w:sz w:val="24"/>
        <w:szCs w:val="24"/>
        <w:lang w:bidi="ar-SA" w:eastAsia="en-US" w:val="en-US"/>
      </w:rPr>
    </w:rPrDefault>
    <w:pPrDefault>
      <w:pPr>
        <w:spacing w:after="200"/>
      </w:pPr>
    </w:pPrDefault>
  </w:docDefaults>
  <w:latentStyles w:count="276" w:defLockedState="0" w:defQFormat="0" w:defSemiHidden="0" w:defUIPriority="0" w:defUnhideWhenUsed="0"/>
  <w:style w:default="1" w:styleId="Normal" w:type="paragraph">
    <w:name w:val="Normal"/>
    <w:qFormat/>
  </w:style>
  <w:style w:styleId="BodyText" w:type="paragraph">
    <w:name w:val="Body Text"/>
    <w:basedOn w:val="Normal"/>
    <w:link w:val="BodyTextChar"/>
    <w:pPr>
      <w:spacing w:after="180" w:before="180"/>
    </w:pPr>
    <w:qFormat/>
  </w:style>
  <w:style w:customStyle="1" w:styleId="FirstParagraph" w:type="paragraph">
    <w:name w:val="First Paragraph"/>
    <w:basedOn w:val="BodyText"/>
    <w:next w:val="BodyText"/>
    <w:qFormat/>
  </w:style>
  <w:style w:customStyle="1" w:styleId="Compact" w:type="paragraph">
    <w:name w:val="Compact"/>
    <w:basedOn w:val="BodyText"/>
    <w:qFormat/>
    <w:pPr>
      <w:spacing w:after="36" w:before="36"/>
    </w:pPr>
  </w:style>
  <w:style w:styleId="Title" w:type="paragraph">
    <w:name w:val="Title"/>
    <w:basedOn w:val="Normal"/>
    <w:next w:val="BodyText"/>
    <w:qFormat/>
    <w:pPr>
      <w:keepNext/>
      <w:keepLines/>
      <w:spacing w:after="240" w:before="480"/>
      <w:jc w:val="center"/>
    </w:pPr>
    <w:rPr>
      <w:rFonts w:asciiTheme="majorHAnsi" w:cstheme="majorBidi" w:eastAsiaTheme="majorEastAsia" w:hAnsiTheme="majorHAnsi"/>
      <w:b/>
      <w:bCs/>
      <w:color w:themeColor="accent1" w:themeShade="B5" w:val="345A8A"/>
      <w:sz w:val="36"/>
      <w:szCs w:val="36"/>
    </w:rPr>
  </w:style>
  <w:style w:styleId="Subtitle" w:type="paragraph">
    <w:name w:val="Subtitle"/>
    <w:basedOn w:val="Title"/>
    <w:next w:val="BodyText"/>
    <w:qFormat/>
    <w:pPr>
      <w:keepNext/>
      <w:keepLines/>
      <w:spacing w:after="240" w:before="240"/>
      <w:jc w:val="center"/>
    </w:pPr>
    <w:rPr>
      <w:sz w:val="30"/>
      <w:szCs w:val="30"/>
    </w:rPr>
  </w:style>
  <w:style w:customStyle="1" w:styleId="Author" w:type="paragraph">
    <w:name w:val="Author"/>
    <w:next w:val="BodyText"/>
    <w:qFormat/>
    <w:pPr>
      <w:keepNext/>
      <w:keepLines/>
      <w:jc w:val="center"/>
    </w:pPr>
  </w:style>
  <w:style w:styleId="Date" w:type="paragraph">
    <w:name w:val="Date"/>
    <w:next w:val="BodyText"/>
    <w:qFormat/>
    <w:pPr>
      <w:keepNext/>
      <w:keepLines/>
      <w:jc w:val="center"/>
    </w:pPr>
  </w:style>
  <w:style w:customStyle="1" w:styleId="Abstract" w:type="paragraph">
    <w:name w:val="Abstract"/>
    <w:basedOn w:val="Normal"/>
    <w:next w:val="BodyText"/>
    <w:qFormat/>
    <w:pPr>
      <w:keepNext/>
      <w:keepLines/>
      <w:spacing w:after="300" w:before="300"/>
    </w:pPr>
    <w:rPr>
      <w:sz w:val="20"/>
      <w:szCs w:val="20"/>
    </w:rPr>
  </w:style>
  <w:style w:styleId="Bibliography" w:type="paragraph">
    <w:name w:val="Bibliography"/>
    <w:basedOn w:val="Normal"/>
    <w:next w:val="Bibliography"/>
    <w:qFormat/>
    <w:pPr/>
    <w:rPr/>
  </w:style>
  <w:style w:styleId="Heading1" w:type="paragraph">
    <w:name w:val="Heading 1"/>
    <w:basedOn w:val="Normal"/>
    <w:next w:val="BodyText"/>
    <w:uiPriority w:val="9"/>
    <w:qFormat/>
    <w:pPr>
      <w:keepNext/>
      <w:keepLines/>
      <w:spacing w:after="0" w:before="480"/>
      <w:outlineLvl w:val="0"/>
    </w:pPr>
    <w:rPr>
      <w:rFonts w:asciiTheme="majorHAnsi" w:cstheme="majorBidi" w:eastAsiaTheme="majorEastAsia" w:hAnsiTheme="majorHAnsi"/>
      <w:b/>
      <w:bCs/>
      <w:color w:themeColor="accent1" w:val="4F81BD"/>
      <w:sz w:val="32"/>
      <w:szCs w:val="32"/>
    </w:rPr>
  </w:style>
  <w:style w:styleId="Heading2" w:type="paragraph">
    <w:name w:val="Heading 2"/>
    <w:basedOn w:val="Normal"/>
    <w:next w:val="BodyText"/>
    <w:uiPriority w:val="9"/>
    <w:unhideWhenUsed/>
    <w:qFormat/>
    <w:pPr>
      <w:keepNext/>
      <w:keepLines/>
      <w:spacing w:after="0" w:before="200"/>
      <w:outlineLvl w:val="1"/>
    </w:pPr>
    <w:rPr>
      <w:rFonts w:asciiTheme="majorHAnsi" w:cstheme="majorBidi" w:eastAsiaTheme="majorEastAsia" w:hAnsiTheme="majorHAnsi"/>
      <w:b/>
      <w:bCs/>
      <w:color w:themeColor="accent1" w:val="4F81BD"/>
      <w:sz w:val="28"/>
      <w:szCs w:val="28"/>
    </w:rPr>
  </w:style>
  <w:style w:styleId="Heading3" w:type="paragraph">
    <w:name w:val="Heading 3"/>
    <w:basedOn w:val="Normal"/>
    <w:next w:val="BodyText"/>
    <w:uiPriority w:val="9"/>
    <w:unhideWhenUsed/>
    <w:qFormat/>
    <w:pPr>
      <w:keepNext/>
      <w:keepLines/>
      <w:spacing w:after="0" w:before="200"/>
      <w:outlineLvl w:val="2"/>
    </w:pPr>
    <w:rPr>
      <w:rFonts w:asciiTheme="majorHAnsi" w:cstheme="majorBidi" w:eastAsiaTheme="majorEastAsia" w:hAnsiTheme="majorHAnsi"/>
      <w:b/>
      <w:bCs/>
      <w:color w:themeColor="accent1" w:val="4F81BD"/>
      <w:sz w:val="24"/>
      <w:szCs w:val="24"/>
    </w:rPr>
  </w:style>
  <w:style w:styleId="Heading4" w:type="paragraph">
    <w:name w:val="Heading 4"/>
    <w:basedOn w:val="Normal"/>
    <w:next w:val="BodyText"/>
    <w:uiPriority w:val="9"/>
    <w:unhideWhenUsed/>
    <w:qFormat/>
    <w:pPr>
      <w:keepNext/>
      <w:keepLines/>
      <w:spacing w:after="0" w:before="200"/>
      <w:outlineLvl w:val="3"/>
    </w:pPr>
    <w:rPr>
      <w:rFonts w:asciiTheme="majorHAnsi" w:cstheme="majorBidi" w:eastAsiaTheme="majorEastAsia" w:hAnsiTheme="majorHAnsi"/>
      <w:i/>
      <w:bCs/>
      <w:color w:themeColor="accent1" w:val="4F81BD"/>
      <w:sz w:val="24"/>
      <w:szCs w:val="24"/>
    </w:rPr>
  </w:style>
  <w:style w:styleId="Heading5" w:type="paragraph">
    <w:name w:val="Heading 5"/>
    <w:basedOn w:val="Normal"/>
    <w:next w:val="BodyText"/>
    <w:uiPriority w:val="9"/>
    <w:unhideWhenUsed/>
    <w:qFormat/>
    <w:pPr>
      <w:keepNext/>
      <w:keepLines/>
      <w:spacing w:after="0" w:before="200"/>
      <w:outlineLvl w:val="4"/>
    </w:pPr>
    <w:rPr>
      <w:rFonts w:asciiTheme="majorHAnsi" w:cstheme="majorBidi" w:eastAsiaTheme="majorEastAsia" w:hAnsiTheme="majorHAnsi"/>
      <w:iCs/>
      <w:color w:themeColor="accent1" w:val="4F81BD"/>
      <w:sz w:val="24"/>
      <w:szCs w:val="24"/>
    </w:rPr>
  </w:style>
  <w:style w:styleId="Heading6" w:type="paragraph">
    <w:name w:val="Heading 6"/>
    <w:basedOn w:val="Normal"/>
    <w:next w:val="BodyText"/>
    <w:uiPriority w:val="9"/>
    <w:unhideWhenUsed/>
    <w:qFormat/>
    <w:pPr>
      <w:keepNext/>
      <w:keepLines/>
      <w:spacing w:after="0" w:before="200"/>
      <w:outlineLvl w:val="5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7" w:type="paragraph">
    <w:name w:val="Heading 7"/>
    <w:basedOn w:val="Normal"/>
    <w:next w:val="BodyText"/>
    <w:uiPriority w:val="9"/>
    <w:unhideWhenUsed/>
    <w:qFormat/>
    <w:pPr>
      <w:keepNext/>
      <w:keepLines/>
      <w:spacing w:after="0" w:before="200"/>
      <w:outlineLvl w:val="6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8" w:type="paragraph">
    <w:name w:val="Heading 8"/>
    <w:basedOn w:val="Normal"/>
    <w:next w:val="BodyText"/>
    <w:uiPriority w:val="9"/>
    <w:unhideWhenUsed/>
    <w:qFormat/>
    <w:pPr>
      <w:keepNext/>
      <w:keepLines/>
      <w:spacing w:after="0" w:before="200"/>
      <w:outlineLvl w:val="7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9" w:type="paragraph">
    <w:name w:val="Heading 9"/>
    <w:basedOn w:val="Normal"/>
    <w:next w:val="BodyText"/>
    <w:uiPriority w:val="9"/>
    <w:unhideWhenUsed/>
    <w:qFormat/>
    <w:pPr>
      <w:keepNext/>
      <w:keepLines/>
      <w:spacing w:after="0" w:before="200"/>
      <w:outlineLvl w:val="8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BlockText" w:type="paragraph">
    <w:name w:val="Block Text"/>
    <w:basedOn w:val="BodyText"/>
    <w:next w:val="BodyText"/>
    <w:uiPriority w:val="9"/>
    <w:unhideWhenUsed/>
    <w:qFormat/>
    <w:pPr>
      <w:spacing w:after="100" w:before="100"/>
      <w:ind w:firstLine="0" w:left="480" w:right="480"/>
    </w:pPr>
  </w:style>
  <w:style w:styleId="FootnoteText" w:type="paragraph">
    <w:name w:val="Footnote Text"/>
    <w:basedOn w:val="Normal"/>
    <w:next w:val="FootnoteText"/>
    <w:uiPriority w:val="9"/>
    <w:unhideWhenUsed/>
    <w:qFormat/>
  </w:style>
  <w:style w:default="1" w:styleId="DefaultParagraphFont" w:type="character">
    <w:name w:val="Default Paragraph Font"/>
    <w:semiHidden/>
    <w:unhideWhenUsed/>
  </w:style>
  <w:style w:default="1" w:styleId="Table" w:type="table">
    <w:name w:val="Table"/>
    <w:basedOn w:val="TableNormal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  <w:tblStylePr w:type="firstRow">
      <w:tblPr>
        <w:jc w:val="left"/>
        <w:tblInd w:type="dxa" w:w="0"/>
      </w:tblPr>
      <w:trPr>
        <w:jc w:val="left"/>
      </w:trPr>
      <w:tcPr>
        <w:vAlign w:val="bottom"/>
        <w:tcBorders>
          <w:bottom w:val="single"/>
        </w:tcBorders>
      </w:tcPr>
    </w:tblStylePr>
  </w:style>
  <w:style w:customStyle="1" w:styleId="DefinitionTerm" w:type="paragraph">
    <w:name w:val="Definition Term"/>
    <w:basedOn w:val="Normal"/>
    <w:next w:val="Definition"/>
    <w:pPr>
      <w:keepNext/>
      <w:keepLines/>
      <w:spacing w:after="0"/>
    </w:pPr>
    <w:rPr>
      <w:b/>
    </w:rPr>
  </w:style>
  <w:style w:customStyle="1" w:styleId="Definition" w:type="paragraph">
    <w:name w:val="Definition"/>
    <w:basedOn w:val="Normal"/>
  </w:style>
  <w:style w:styleId="Caption" w:type="paragraph">
    <w:name w:val="Caption"/>
    <w:basedOn w:val="Normal"/>
    <w:link w:val="BodyTextChar"/>
    <w:pPr>
      <w:spacing w:after="120" w:before="0"/>
    </w:pPr>
    <w:rPr>
      <w:i/>
    </w:rPr>
  </w:style>
  <w:style w:customStyle="1" w:styleId="TableCaption" w:type="paragraph">
    <w:name w:val="Table Caption"/>
    <w:basedOn w:val="Caption"/>
    <w:pPr>
      <w:keepNext/>
    </w:pPr>
  </w:style>
  <w:style w:customStyle="1" w:styleId="ImageCaption" w:type="paragraph">
    <w:name w:val="Image Caption"/>
    <w:basedOn w:val="Caption"/>
  </w:style>
  <w:style w:customStyle="1" w:styleId="Figure" w:type="paragraph">
    <w:name w:val="Figure"/>
    <w:basedOn w:val="Normal"/>
  </w:style>
  <w:style w:customStyle="1" w:styleId="CaptionedFigure" w:type="paragraph">
    <w:name w:val="Captioned Figure"/>
    <w:basedOn w:val="Figure"/>
    <w:pPr>
      <w:keepNext/>
    </w:pPr>
  </w:style>
  <w:style w:customStyle="1" w:styleId="BodyTextChar" w:type="character">
    <w:name w:val="Body Text Char"/>
    <w:basedOn w:val="DefaultParagraphFont"/>
    <w:link w:val="BodyText"/>
  </w:style>
  <w:style w:customStyle="1" w:styleId="VerbatimChar" w:type="character">
    <w:name w:val="Verbatim Char"/>
    <w:basedOn w:val="BodyTextChar"/>
    <w:rPr>
      <w:rFonts w:ascii="Consolas" w:hAnsi="Consolas"/>
      <w:sz w:val="22"/>
    </w:rPr>
  </w:style>
  <w:style w:customStyle="1" w:styleId="SectionNumber" w:type="character">
    <w:name w:val="Section Number"/>
    <w:basedOn w:val="BodyTextChar"/>
  </w:style>
  <w:style w:styleId="FootnoteReference" w:type="character">
    <w:name w:val="Footnote Reference"/>
    <w:basedOn w:val="BodyTextChar"/>
    <w:rPr>
      <w:vertAlign w:val="superscript"/>
    </w:rPr>
  </w:style>
  <w:style w:styleId="Hyperlink" w:type="character">
    <w:name w:val="Hyperlink"/>
    <w:basedOn w:val="BodyTextChar"/>
    <w:rPr>
      <w:color w:themeColor="accent1" w:val="4F81BD"/>
    </w:rPr>
  </w:style>
  <w:style w:styleId="TOCHeading" w:type="paragraph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cstheme="majorBidi" w:eastAsiaTheme="majorEastAsia" w:hAnsiTheme="majorHAnsi"/>
      <w:b w:val="0"/>
      <w:bCs w:val="0"/>
      <w:color w:themeColor="accent1" w:themeShade="BF" w:val="365F91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0" Target="media/rId20.png" /><Relationship Type="http://schemas.openxmlformats.org/officeDocument/2006/relationships/image" Id="rId22" Target="media/rId22.png" /><Relationship Type="http://schemas.openxmlformats.org/officeDocument/2006/relationships/image" Id="rId23" Target="media/rId23.png" /><Relationship Type="http://schemas.openxmlformats.org/officeDocument/2006/relationships/image" Id="rId24" Target="media/rId24.png" /><Relationship Type="http://schemas.openxmlformats.org/officeDocument/2006/relationships/image" Id="rId25" Target="media/rId25.png" /><Relationship Type="http://schemas.openxmlformats.org/officeDocument/2006/relationships/image" Id="rId26" Target="media/rId26.png" /><Relationship Type="http://schemas.openxmlformats.org/officeDocument/2006/relationships/image" Id="rId28" Target="media/rId28.png" /><Relationship Type="http://schemas.openxmlformats.org/officeDocument/2006/relationships/image" Id="rId29" Target="media/rId29.png" /><Relationship Type="http://schemas.openxmlformats.org/officeDocument/2006/relationships/image" Id="rId31" Target="media/rId31.png" /><Relationship Type="http://schemas.openxmlformats.org/officeDocument/2006/relationships/image" Id="rId32" Target="media/rId32.png" /><Relationship Type="http://schemas.openxmlformats.org/officeDocument/2006/relationships/image" Id="rId34" Target="media/rId34.png" /><Relationship Type="http://schemas.openxmlformats.org/officeDocument/2006/relationships/image" Id="rId35" Target="media/rId35.png" /><Relationship Type="http://schemas.openxmlformats.org/officeDocument/2006/relationships/image" Id="rId37" Target="media/rId37.png" /><Relationship Type="http://schemas.openxmlformats.org/officeDocument/2006/relationships/image" Id="rId38" Target="media/rId38.png" /></Relationships>
</file>

<file path=word/_rels/footnotes.xml.rels>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2022-08-11T10:14:38Z</dcterms:created>
  <dcterms:modified xsi:type="dcterms:W3CDTF">2022-08-11T10:14:38Z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