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footnotes.xml" ContentType="application/vnd.openxmlformats-officedocument.wordprocessingml.footnotes+xml"/>
  <Override PartName="/word/media/rId25.png" ContentType="image/png"/>
  <Override PartName="/word/media/rId24.png" ContentType="image/png"/>
  <Override PartName="/word/media/rId34.png" ContentType="image/png"/>
  <Override PartName="/word/media/rId29.png" ContentType="image/png"/>
  <Override PartName="/word/media/rId31.png" ContentType="image/png"/>
  <Override PartName="/word/media/rId32.png" ContentType="image/png"/>
  <Override PartName="/word/media/rId38.png" ContentType="image/png"/>
  <Override PartName="/word/media/rId37.png" ContentType="image/png"/>
  <Override PartName="/word/media/rId36.png" ContentType="image/png"/>
  <Override PartName="/word/media/rId44.png" ContentType="image/png"/>
  <Override PartName="/word/media/rId41.png" ContentType="image/png"/>
  <Override PartName="/word/media/rId43.png" ContentType="image/png"/>
  <Override PartName="/word/media/rId50.png" ContentType="image/png"/>
  <Override PartName="/word/media/rId49.png" ContentType="image/png"/>
  <Override PartName="/word/media/rId51.png" ContentType="image/png"/>
  <Override PartName="/word/media/rId52.png" ContentType="image/png"/>
  <Override PartName="/word/media/rId54.png" ContentType="image/png"/>
  <Override PartName="/word/media/rId60.png" ContentType="image/png"/>
  <Override PartName="/word/media/rId58.png" ContentType="image/png"/>
  <Override PartName="/word/media/rId46.png" ContentType="image/png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5" Type="http://schemas.openxmlformats.org/officeDocument/2006/relationships/custom-properties" Target="docProps/custom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p>
      <w:pPr>
        <w:pStyle w:val="Heading1"/>
      </w:pPr>
      <w:bookmarkStart w:id="20" w:name="cahier-de-texte"/>
      <w:r>
        <w:t xml:space="preserve">Cahier de texte</w:t>
      </w:r>
      <w:bookmarkEnd w:id="20"/>
    </w:p>
    <w:p>
      <w:pPr>
        <w:pStyle w:val="FirstParagraph"/>
      </w:pPr>
      <w:r>
        <w:t xml:space="preserve">Le cahier de texte est un module qui permet, selon les profils, d’accéder ou de créer des séances, des devoirs.</w:t>
      </w:r>
      <w:r>
        <w:t xml:space="preserve"> </w:t>
      </w:r>
      <w:r>
        <w:t xml:space="preserve">Il permet aux parents et élèves de</w:t>
      </w:r>
      <w:r>
        <w:t xml:space="preserve"> </w:t>
      </w:r>
      <w:r>
        <w:rPr>
          <w:b/>
        </w:rPr>
        <w:t xml:space="preserve">suivre les devoirs et séances remplis par les enseignants.</w:t>
      </w:r>
      <w:r>
        <w:t xml:space="preserve"> </w:t>
      </w:r>
      <w:r>
        <w:t xml:space="preserve">Il permet aux enseignants de</w:t>
      </w:r>
      <w:r>
        <w:t xml:space="preserve"> </w:t>
      </w:r>
      <w:r>
        <w:rPr>
          <w:b/>
        </w:rPr>
        <w:t xml:space="preserve">gérer tout leur cahier de texte</w:t>
      </w:r>
      <w:r>
        <w:t xml:space="preserve"> </w:t>
      </w:r>
      <w:r>
        <w:t xml:space="preserve">: création, modification, création de progressions…</w:t>
      </w:r>
      <w:r>
        <w:t xml:space="preserve"> </w:t>
      </w:r>
      <w:r>
        <w:t xml:space="preserve">Il permet</w:t>
      </w:r>
      <w:r>
        <w:t xml:space="preserve"> </w:t>
      </w:r>
      <w:r>
        <w:rPr>
          <w:b/>
        </w:rPr>
        <w:t xml:space="preserve">à la vie scolaire d’accéder aux cahiers de texte pour aider les élèves et à la direction de viser les cahiers de texte.</w:t>
      </w:r>
    </w:p>
    <w:p>
      <w:pPr>
        <w:pStyle w:val="Heading4"/>
      </w:pPr>
      <w:bookmarkStart w:id="21" w:name="table-des-matières"/>
      <w:r>
        <w:t xml:space="preserve">Table des matières</w:t>
      </w:r>
      <w:bookmarkEnd w:id="21"/>
    </w:p>
    <w:p>
      <w:pPr>
        <w:numPr>
          <w:ilvl w:val="0"/>
          <w:numId w:val="1001"/>
        </w:numPr>
        <w:pStyle w:val="Compact"/>
      </w:pPr>
      <w:hyperlink w:anchor="profil-enseignant">
        <w:r>
          <w:rPr>
            <w:rStyle w:val="Hyperlink"/>
          </w:rPr>
          <w:t xml:space="preserve">Profil enseignant</w:t>
        </w:r>
      </w:hyperlink>
    </w:p>
    <w:p>
      <w:pPr>
        <w:numPr>
          <w:ilvl w:val="1"/>
          <w:numId w:val="1002"/>
        </w:numPr>
        <w:pStyle w:val="Compact"/>
      </w:pPr>
      <w:hyperlink w:anchor="vue-calendaire">
        <w:r>
          <w:rPr>
            <w:rStyle w:val="Hyperlink"/>
          </w:rPr>
          <w:t xml:space="preserve">Vue calendaire</w:t>
        </w:r>
      </w:hyperlink>
    </w:p>
    <w:p>
      <w:pPr>
        <w:numPr>
          <w:ilvl w:val="1"/>
          <w:numId w:val="1002"/>
        </w:numPr>
        <w:pStyle w:val="Compact"/>
      </w:pPr>
      <w:hyperlink w:anchor="liste-des-cahiers-de-texte">
        <w:r>
          <w:rPr>
            <w:rStyle w:val="Hyperlink"/>
          </w:rPr>
          <w:t xml:space="preserve">Liste des cahiers de texte</w:t>
        </w:r>
      </w:hyperlink>
    </w:p>
    <w:p>
      <w:pPr>
        <w:numPr>
          <w:ilvl w:val="1"/>
          <w:numId w:val="1002"/>
        </w:numPr>
        <w:pStyle w:val="Compact"/>
      </w:pPr>
      <w:hyperlink w:anchor="progressions">
        <w:r>
          <w:rPr>
            <w:rStyle w:val="Hyperlink"/>
          </w:rPr>
          <w:t xml:space="preserve">Progressions</w:t>
        </w:r>
      </w:hyperlink>
    </w:p>
    <w:p>
      <w:pPr>
        <w:numPr>
          <w:ilvl w:val="1"/>
          <w:numId w:val="1002"/>
        </w:numPr>
        <w:pStyle w:val="Compact"/>
      </w:pPr>
      <w:hyperlink w:anchor="archives">
        <w:r>
          <w:rPr>
            <w:rStyle w:val="Hyperlink"/>
          </w:rPr>
          <w:t xml:space="preserve">Archives</w:t>
        </w:r>
      </w:hyperlink>
    </w:p>
    <w:p>
      <w:pPr>
        <w:numPr>
          <w:ilvl w:val="0"/>
          <w:numId w:val="1001"/>
        </w:numPr>
        <w:pStyle w:val="Compact"/>
      </w:pPr>
      <w:hyperlink w:anchor="profil-vie-scolaire">
        <w:r>
          <w:rPr>
            <w:rStyle w:val="Hyperlink"/>
          </w:rPr>
          <w:t xml:space="preserve">Profil Vie Scolaire</w:t>
        </w:r>
      </w:hyperlink>
    </w:p>
    <w:p>
      <w:pPr>
        <w:numPr>
          <w:ilvl w:val="1"/>
          <w:numId w:val="1003"/>
        </w:numPr>
        <w:pStyle w:val="Compact"/>
      </w:pPr>
      <w:hyperlink w:anchor="liste-des-cahiers-de-texte">
        <w:r>
          <w:rPr>
            <w:rStyle w:val="Hyperlink"/>
          </w:rPr>
          <w:t xml:space="preserve">Liste des cahiers de texte</w:t>
        </w:r>
      </w:hyperlink>
    </w:p>
    <w:p>
      <w:pPr>
        <w:numPr>
          <w:ilvl w:val="1"/>
          <w:numId w:val="1003"/>
        </w:numPr>
        <w:pStyle w:val="Compact"/>
      </w:pPr>
      <w:hyperlink w:anchor="vue-calendaire">
        <w:r>
          <w:rPr>
            <w:rStyle w:val="Hyperlink"/>
          </w:rPr>
          <w:t xml:space="preserve">Vue calendaire</w:t>
        </w:r>
      </w:hyperlink>
    </w:p>
    <w:p>
      <w:pPr>
        <w:numPr>
          <w:ilvl w:val="1"/>
          <w:numId w:val="1003"/>
        </w:numPr>
        <w:pStyle w:val="Compact"/>
      </w:pPr>
      <w:hyperlink w:anchor="archives">
        <w:r>
          <w:rPr>
            <w:rStyle w:val="Hyperlink"/>
          </w:rPr>
          <w:t xml:space="preserve">Archives</w:t>
        </w:r>
      </w:hyperlink>
    </w:p>
    <w:p>
      <w:pPr>
        <w:numPr>
          <w:ilvl w:val="0"/>
          <w:numId w:val="1001"/>
        </w:numPr>
        <w:pStyle w:val="Compact"/>
      </w:pPr>
      <w:hyperlink w:anchor="profil-parents-et-lves">
        <w:r>
          <w:rPr>
            <w:rStyle w:val="Hyperlink"/>
          </w:rPr>
          <w:t xml:space="preserve">Profil Parents et élèves</w:t>
        </w:r>
      </w:hyperlink>
    </w:p>
    <w:p>
      <w:pPr>
        <w:numPr>
          <w:ilvl w:val="1"/>
          <w:numId w:val="1004"/>
        </w:numPr>
        <w:pStyle w:val="Compact"/>
      </w:pPr>
      <w:hyperlink w:anchor="vue-liste">
        <w:r>
          <w:rPr>
            <w:rStyle w:val="Hyperlink"/>
          </w:rPr>
          <w:t xml:space="preserve">Vue liste</w:t>
        </w:r>
      </w:hyperlink>
    </w:p>
    <w:p>
      <w:pPr>
        <w:numPr>
          <w:ilvl w:val="1"/>
          <w:numId w:val="1004"/>
        </w:numPr>
        <w:pStyle w:val="Compact"/>
      </w:pPr>
      <w:hyperlink w:anchor="vue-calendaire">
        <w:r>
          <w:rPr>
            <w:rStyle w:val="Hyperlink"/>
          </w:rPr>
          <w:t xml:space="preserve">Vue calendaire</w:t>
        </w:r>
      </w:hyperlink>
    </w:p>
    <w:p>
      <w:pPr>
        <w:pStyle w:val="Heading2"/>
      </w:pPr>
      <w:bookmarkStart w:id="22" w:name="profil-enseignant"/>
      <w:r>
        <w:t xml:space="preserve">Profil enseignant</w:t>
      </w:r>
      <w:bookmarkEnd w:id="22"/>
    </w:p>
    <w:p>
      <w:pPr>
        <w:pStyle w:val="Heading3"/>
      </w:pPr>
      <w:bookmarkStart w:id="23" w:name="vue-calendaire"/>
      <w:r>
        <w:t xml:space="preserve">Vue calendaire</w:t>
      </w:r>
      <w:bookmarkEnd w:id="23"/>
    </w:p>
    <w:p>
      <w:pPr>
        <w:pStyle w:val="FirstParagraph"/>
      </w:pPr>
      <w:r>
        <w:t xml:space="preserve">La vue calendaire est la vue par défaut du cahier de texte des enseignants. Elle affiche l’emploi du temps de l’enseignant connecté et donne accès aux principales fonctionnalités.</w:t>
      </w:r>
    </w:p>
    <w:p>
      <w:pPr>
        <w:pStyle w:val="BodyText"/>
      </w:pPr>
      <w:r>
        <w:drawing>
          <wp:inline>
            <wp:extent cx="5334000" cy="227462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1calendaire_enseignant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27462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Légende des couleurs :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vert</w:t>
      </w:r>
      <w:r>
        <w:t xml:space="preserve"> </w:t>
      </w:r>
      <w:r>
        <w:t xml:space="preserve">: une séance a été saisie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orange</w:t>
      </w:r>
      <w:r>
        <w:t xml:space="preserve"> </w:t>
      </w:r>
      <w:r>
        <w:t xml:space="preserve">: un travail à faire a été saisi pour ce créneau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vert et orange</w:t>
      </w:r>
      <w:r>
        <w:t xml:space="preserve"> </w:t>
      </w:r>
      <w:r>
        <w:t xml:space="preserve">: une séance et un ou plusieurs devoirs ont été saisis sur ce créneau</w:t>
      </w:r>
    </w:p>
    <w:p>
      <w:pPr>
        <w:pStyle w:val="BodyText"/>
      </w:pPr>
      <w:r>
        <w:drawing>
          <wp:inline>
            <wp:extent cx="3503919" cy="1206393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1calendaire_couleur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3919" cy="120639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Heading4"/>
      </w:pPr>
      <w:bookmarkStart w:id="26" w:name="créer-des-séances-et-devoirs"/>
      <w:r>
        <w:t xml:space="preserve">Créer des séances et devoirs</w:t>
      </w:r>
      <w:bookmarkEnd w:id="26"/>
    </w:p>
    <w:p>
      <w:pPr>
        <w:pStyle w:val="Heading5"/>
      </w:pPr>
      <w:bookmarkStart w:id="27" w:name="les-différents-accès"/>
      <w:r>
        <w:t xml:space="preserve">Les différents accès</w:t>
      </w:r>
      <w:bookmarkEnd w:id="27"/>
    </w:p>
    <w:p>
      <w:pPr>
        <w:pStyle w:val="FirstParagraph"/>
      </w:pPr>
      <w:r>
        <w:t xml:space="preserve">Pour créer un devoir ou une séance, il existe plusieurs moyens :</w:t>
      </w:r>
      <w:r>
        <w:t xml:space="preserve"> </w:t>
      </w:r>
      <w:r>
        <w:t xml:space="preserve">- depuis les boutons en haut à droite</w:t>
      </w:r>
      <w:r>
        <w:t xml:space="preserve"> </w:t>
      </w:r>
      <w:r>
        <w:t xml:space="preserve">- en cliquant directement sur la séance concernée dans le calendrier</w:t>
      </w:r>
      <w:r>
        <w:t xml:space="preserve"> </w:t>
      </w:r>
      <w:r>
        <w:t xml:space="preserve">- en glissant-déposant une séance du bloc progression vers un créneau</w:t>
      </w:r>
    </w:p>
    <w:p>
      <w:pPr>
        <w:pStyle w:val="BodyText"/>
      </w:pPr>
      <w:r>
        <w:t xml:space="preserve">Chacune de ces actions ouvre une fenêtre permettant de saisir plusieurs informations.</w:t>
      </w:r>
    </w:p>
    <w:p>
      <w:pPr>
        <w:pStyle w:val="Heading5"/>
      </w:pPr>
      <w:bookmarkStart w:id="28" w:name="créer-une-séance"/>
      <w:r>
        <w:t xml:space="preserve">Créer une séance</w:t>
      </w:r>
      <w:bookmarkEnd w:id="28"/>
    </w:p>
    <w:p>
      <w:pPr>
        <w:pStyle w:val="FirstParagraph"/>
      </w:pPr>
      <w:r>
        <w:drawing>
          <wp:inline>
            <wp:extent cx="5334000" cy="2319648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2ajouter_seanc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319648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Si l’ajout de séance a été réalisé en cliquant sur un créneau, la classe et la discipline sont pré-remplies, sinon il faut choisir.</w:t>
      </w:r>
    </w:p>
    <w:p>
      <w:pPr>
        <w:pStyle w:val="BodyText"/>
      </w:pPr>
      <w:r>
        <w:t xml:space="preserve">Il faut encore compléter :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Un titre</w:t>
      </w:r>
      <w:r>
        <w:t xml:space="preserve"> </w:t>
      </w:r>
      <w:r>
        <w:t xml:space="preserve">: par défaut Séance + date du jour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salle préremplie</w:t>
      </w:r>
      <w:r>
        <w:t xml:space="preserve"> </w:t>
      </w:r>
      <w:r>
        <w:t xml:space="preserve">avec l’emploi du temps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type de séances</w:t>
      </w:r>
      <w:r>
        <w:t xml:space="preserve"> </w:t>
      </w:r>
      <w:r>
        <w:t xml:space="preserve">(ces types sont paramétrés par la vie scolaire)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date du jour pré-renseignée</w:t>
      </w:r>
      <w:r>
        <w:t xml:space="preserve"> </w:t>
      </w:r>
      <w:r>
        <w:t xml:space="preserve">- bouton de</w:t>
      </w:r>
      <w:r>
        <w:t xml:space="preserve"> </w:t>
      </w:r>
      <w:r>
        <w:rPr>
          <w:b/>
        </w:rPr>
        <w:t xml:space="preserve">publication</w:t>
      </w:r>
      <w:r>
        <w:t xml:space="preserve"> </w:t>
      </w:r>
      <w:r>
        <w:t xml:space="preserve">: activé par défaut (possible de le désactiver pour rentrer des séances et devoirs en avance sans que les autres profils le voient)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description</w:t>
      </w:r>
      <w:r>
        <w:t xml:space="preserve"> </w:t>
      </w:r>
      <w:r>
        <w:t xml:space="preserve">: il s’agit de l’éditeur de texte présent partout sur l’ENT</w:t>
      </w:r>
    </w:p>
    <w:p>
      <w:pPr>
        <w:pStyle w:val="BodyText"/>
      </w:pPr>
      <w:r>
        <w:t xml:space="preserve">Un bouton</w:t>
      </w:r>
      <w:r>
        <w:t xml:space="preserve"> </w:t>
      </w:r>
      <w:r>
        <w:rPr>
          <w:b/>
        </w:rPr>
        <w:t xml:space="preserve">“</w:t>
      </w:r>
      <w:r>
        <w:rPr>
          <w:b/>
        </w:rPr>
        <w:t xml:space="preserve">Ajouter un travail à faire</w:t>
      </w:r>
      <w:r>
        <w:rPr>
          <w:b/>
        </w:rPr>
        <w:t xml:space="preserve">”</w:t>
      </w:r>
      <w:r>
        <w:t xml:space="preserve"> </w:t>
      </w:r>
      <w:r>
        <w:t xml:space="preserve">permet de poursuivre la saisie d’un travail, d’un devoir.</w:t>
      </w:r>
    </w:p>
    <w:p>
      <w:pPr>
        <w:pStyle w:val="Heading5"/>
      </w:pPr>
      <w:bookmarkStart w:id="30" w:name="ajouter-un-travail-à-faire"/>
      <w:r>
        <w:t xml:space="preserve">Ajouter un travail à faire</w:t>
      </w:r>
      <w:bookmarkEnd w:id="30"/>
    </w:p>
    <w:p>
      <w:pPr>
        <w:pStyle w:val="FirstParagraph"/>
      </w:pPr>
      <w:r>
        <w:drawing>
          <wp:inline>
            <wp:extent cx="5334000" cy="1426285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3ajouter_travail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42628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Pour cette section, il est possible de saisir un travail :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pour une échéance</w:t>
      </w:r>
      <w:r>
        <w:t xml:space="preserve"> </w:t>
      </w:r>
      <w:r>
        <w:t xml:space="preserve">: séance (par défaut celle en cours) ou date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pour une ou plusieurs classes, groupes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pour une discipline spécifique</w:t>
      </w:r>
      <w:r>
        <w:t xml:space="preserve"> </w:t>
      </w:r>
      <w:r>
        <w:t xml:space="preserve">(si l’enseignant est multidisciplinaire)</w:t>
      </w:r>
    </w:p>
    <w:p>
      <w:pPr>
        <w:pStyle w:val="BodyText"/>
      </w:pPr>
      <w:r>
        <w:t xml:space="preserve">Il est possible aussi d’ajouter :</w:t>
      </w:r>
      <w:r>
        <w:t xml:space="preserve"> </w:t>
      </w:r>
      <w:r>
        <w:t xml:space="preserve">- un</w:t>
      </w:r>
      <w:r>
        <w:t xml:space="preserve"> </w:t>
      </w:r>
      <w:r>
        <w:rPr>
          <w:b/>
        </w:rPr>
        <w:t xml:space="preserve">type de travail</w:t>
      </w:r>
      <w:r>
        <w:t xml:space="preserve"> </w:t>
      </w:r>
      <w:r>
        <w:t xml:space="preserve">(paramétré par la vie scolaire)</w:t>
      </w:r>
      <w:r>
        <w:t xml:space="preserve"> </w:t>
      </w:r>
      <w:r>
        <w:t xml:space="preserve">- une</w:t>
      </w:r>
      <w:r>
        <w:t xml:space="preserve"> </w:t>
      </w:r>
      <w:r>
        <w:rPr>
          <w:b/>
        </w:rPr>
        <w:t xml:space="preserve">durée</w:t>
      </w:r>
      <w:r>
        <w:t xml:space="preserve"> </w:t>
      </w:r>
      <w:r>
        <w:t xml:space="preserve">estimée</w:t>
      </w:r>
    </w:p>
    <w:p>
      <w:pPr>
        <w:pStyle w:val="BodyText"/>
      </w:pPr>
      <w:r>
        <w:t xml:space="preserve">Une fois le travai validé, un</w:t>
      </w:r>
      <w:r>
        <w:t xml:space="preserve"> </w:t>
      </w:r>
      <w:r>
        <w:rPr>
          <w:b/>
        </w:rPr>
        <w:t xml:space="preserve">tableau récapitulatif apparaît</w:t>
      </w:r>
      <w:r>
        <w:t xml:space="preserve">.</w:t>
      </w:r>
      <w:r>
        <w:t xml:space="preserve"> </w:t>
      </w:r>
      <w:r>
        <w:drawing>
          <wp:inline>
            <wp:extent cx="5334000" cy="566415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3recap_travail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56641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Heading4"/>
      </w:pPr>
      <w:bookmarkStart w:id="33" w:name="la-recherche"/>
      <w:r>
        <w:t xml:space="preserve">La recherche</w:t>
      </w:r>
      <w:bookmarkEnd w:id="33"/>
    </w:p>
    <w:p>
      <w:pPr>
        <w:pStyle w:val="FirstParagraph"/>
      </w:pPr>
      <w:r>
        <w:t xml:space="preserve">En tant qu’enseignant il est possible d’afficher les cahiers de texte d’autres enseignants et d’autres classes. Il faut pour cela choisir l’enseignant ou la classe dans</w:t>
      </w:r>
      <w:r>
        <w:t xml:space="preserve"> </w:t>
      </w:r>
      <w:r>
        <w:rPr>
          <w:b/>
        </w:rPr>
        <w:t xml:space="preserve">les champs de recherche situés en haut de la page.</w:t>
      </w:r>
    </w:p>
    <w:p>
      <w:pPr>
        <w:pStyle w:val="BodyText"/>
      </w:pPr>
      <w:r>
        <w:drawing>
          <wp:inline>
            <wp:extent cx="5334000" cy="428573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1calendaire_recherch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42857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Heading3"/>
      </w:pPr>
      <w:bookmarkStart w:id="35" w:name="liste-des-cahiers-de-texte"/>
      <w:r>
        <w:t xml:space="preserve">Liste des cahiers de texte</w:t>
      </w:r>
      <w:bookmarkEnd w:id="35"/>
    </w:p>
    <w:p>
      <w:pPr>
        <w:pStyle w:val="FirstParagraph"/>
      </w:pPr>
      <w:r>
        <w:t xml:space="preserve">Sur cette page</w:t>
      </w:r>
      <w:r>
        <w:t xml:space="preserve"> </w:t>
      </w:r>
      <w:r>
        <w:rPr>
          <w:b/>
        </w:rPr>
        <w:t xml:space="preserve">sont recensés tous les cahiers de texte</w:t>
      </w:r>
      <w:r>
        <w:t xml:space="preserve"> </w:t>
      </w:r>
      <w:r>
        <w:t xml:space="preserve">saisis par l’enseignant pour toutes ses classes avec des informations sur la dernière modification, le nombre de séances contenues dans le cahier de texte, et l’état s’il a été visé ou non par la direction.</w:t>
      </w:r>
    </w:p>
    <w:p>
      <w:pPr>
        <w:pStyle w:val="BodyText"/>
      </w:pPr>
      <w:r>
        <w:drawing>
          <wp:inline>
            <wp:extent cx="5334000" cy="212791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4liste_cahierdetext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12791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rPr>
          <w:b/>
        </w:rPr>
        <w:t xml:space="preserve">En cliquant sur les lignes</w:t>
      </w:r>
      <w:r>
        <w:t xml:space="preserve">, le cahier de texte s’ouvre et met à disposition toutes les séances et devoirs rattachés à ce cahier de texte.</w:t>
      </w:r>
    </w:p>
    <w:p>
      <w:pPr>
        <w:pStyle w:val="BodyText"/>
      </w:pPr>
      <w:r>
        <w:drawing>
          <wp:inline>
            <wp:extent cx="5334000" cy="132126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4detail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32126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En cliquant dessus,</w:t>
      </w:r>
      <w:r>
        <w:t xml:space="preserve"> </w:t>
      </w:r>
      <w:r>
        <w:rPr>
          <w:b/>
        </w:rPr>
        <w:t xml:space="preserve">la séance ou le travail s’ouvre dans une fenêtre et il est alors possible de naviguer de l’un à l’autre à l’aide de flèches de navigation</w:t>
      </w:r>
      <w:r>
        <w:t xml:space="preserve">.</w:t>
      </w:r>
    </w:p>
    <w:p>
      <w:pPr>
        <w:pStyle w:val="BodyText"/>
      </w:pPr>
      <w:r>
        <w:drawing>
          <wp:inline>
            <wp:extent cx="5334000" cy="244637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4contenu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44637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Heading3"/>
      </w:pPr>
      <w:bookmarkStart w:id="39" w:name="progressions"/>
      <w:r>
        <w:t xml:space="preserve">Progressions</w:t>
      </w:r>
      <w:bookmarkEnd w:id="39"/>
    </w:p>
    <w:p>
      <w:pPr>
        <w:pStyle w:val="FirstParagraph"/>
      </w:pPr>
      <w:r>
        <w:t xml:space="preserve">Il est possible dans ce module d’anticiper son travail de saisie des séances et éventuellement travail à faire. Au sein de Progressions, l’enseignant peut créer des dossiers et y ranger des séances non publiées, qu’il pourra ensuite glisser déposer dans la vue calendaire.</w:t>
      </w:r>
    </w:p>
    <w:p>
      <w:pPr>
        <w:pStyle w:val="Heading4"/>
      </w:pPr>
      <w:bookmarkStart w:id="40" w:name="créer-un-dossier"/>
      <w:r>
        <w:t xml:space="preserve">Créer un dossier</w:t>
      </w:r>
      <w:bookmarkEnd w:id="40"/>
    </w:p>
    <w:p>
      <w:pPr>
        <w:pStyle w:val="FirstParagraph"/>
      </w:pPr>
      <w:r>
        <w:t xml:space="preserve">La création d’un dossier se fait depuis le</w:t>
      </w:r>
      <w:r>
        <w:t xml:space="preserve"> </w:t>
      </w:r>
      <w:r>
        <w:rPr>
          <w:b/>
        </w:rPr>
        <w:t xml:space="preserve">bouton</w:t>
      </w:r>
      <w:r>
        <w:rPr>
          <w:b/>
        </w:rPr>
        <w:t xml:space="preserve"> </w:t>
      </w:r>
      <w:r>
        <w:rPr>
          <w:b/>
        </w:rPr>
        <w:t xml:space="preserve">“</w:t>
      </w:r>
      <w:r>
        <w:rPr>
          <w:b/>
        </w:rPr>
        <w:t xml:space="preserve">Créer un dossier</w:t>
      </w:r>
      <w:r>
        <w:rPr>
          <w:b/>
        </w:rPr>
        <w:t xml:space="preserve">”</w:t>
      </w:r>
      <w:r>
        <w:t xml:space="preserve"> </w:t>
      </w:r>
      <w:r>
        <w:t xml:space="preserve">dans l’arborescence à gauche.</w:t>
      </w:r>
    </w:p>
    <w:p>
      <w:pPr>
        <w:pStyle w:val="BodyText"/>
      </w:pPr>
      <w:r>
        <w:drawing>
          <wp:inline>
            <wp:extent cx="3719072" cy="241278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5creer_dossier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9072" cy="241278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rPr>
          <w:b/>
        </w:rPr>
        <w:t xml:space="preserve">Ce dossier correspond à une progression</w:t>
      </w:r>
      <w:r>
        <w:t xml:space="preserve"> </w:t>
      </w:r>
      <w:r>
        <w:t xml:space="preserve">dans laquelle, il est alors possible de créer des séances en anticipation.</w:t>
      </w:r>
    </w:p>
    <w:p>
      <w:pPr>
        <w:pStyle w:val="Heading4"/>
      </w:pPr>
      <w:bookmarkStart w:id="42" w:name="créer-une-séance-1"/>
      <w:r>
        <w:t xml:space="preserve">Créer une séance</w:t>
      </w:r>
      <w:bookmarkEnd w:id="42"/>
    </w:p>
    <w:p>
      <w:pPr>
        <w:pStyle w:val="FirstParagraph"/>
      </w:pPr>
      <w:r>
        <w:t xml:space="preserve">Pour créer une séance, il suffit de</w:t>
      </w:r>
      <w:r>
        <w:t xml:space="preserve"> </w:t>
      </w:r>
      <w:r>
        <w:rPr>
          <w:b/>
        </w:rPr>
        <w:t xml:space="preserve">cliquer sur le bouton</w:t>
      </w:r>
      <w:r>
        <w:rPr>
          <w:b/>
        </w:rPr>
        <w:t xml:space="preserve"> </w:t>
      </w:r>
      <w:r>
        <w:rPr>
          <w:b/>
        </w:rPr>
        <w:t xml:space="preserve">“</w:t>
      </w:r>
      <w:r>
        <w:rPr>
          <w:b/>
        </w:rPr>
        <w:t xml:space="preserve">Créer une séance</w:t>
      </w:r>
      <w:r>
        <w:rPr>
          <w:b/>
        </w:rPr>
        <w:t xml:space="preserve">”</w:t>
      </w:r>
      <w:r>
        <w:rPr>
          <w:b/>
        </w:rPr>
        <w:t xml:space="preserve">en haut à droite.</w:t>
      </w:r>
    </w:p>
    <w:p>
      <w:pPr>
        <w:pStyle w:val="BodyText"/>
      </w:pPr>
      <w:r>
        <w:t xml:space="preserve">Une fenêtre s’ouvre avec les mêmes champs à remplir que depuis la vue calendaire.</w:t>
      </w:r>
      <w:r>
        <w:t xml:space="preserve"> </w:t>
      </w:r>
      <w:r>
        <w:drawing>
          <wp:inline>
            <wp:extent cx="5334000" cy="2296225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5creer_seanc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29622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fois la séance enregistrée, elle apparaît dans le dossier dans lequel l’utilisateur était positionné. Cette séance se retrouve ensuite dans</w:t>
      </w:r>
      <w:r>
        <w:t xml:space="preserve"> </w:t>
      </w:r>
      <w:r>
        <w:rPr>
          <w:b/>
        </w:rPr>
        <w:t xml:space="preserve">le bloc de gauche sur la vue calendaire.</w:t>
      </w:r>
    </w:p>
    <w:p>
      <w:pPr>
        <w:pStyle w:val="BodyText"/>
      </w:pPr>
      <w:r>
        <w:drawing>
          <wp:inline>
            <wp:extent cx="3250346" cy="529429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5calendaire_sidebar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0346" cy="529429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Ainsi, il est possible de</w:t>
      </w:r>
      <w:r>
        <w:t xml:space="preserve"> </w:t>
      </w:r>
      <w:r>
        <w:rPr>
          <w:b/>
        </w:rPr>
        <w:t xml:space="preserve">pré-remplir des séances dans Progressions pour ensuite les glisser-déposer dans la vue calendaire pour plusieurs classes</w:t>
      </w:r>
      <w:r>
        <w:t xml:space="preserve"> </w:t>
      </w:r>
      <w:r>
        <w:t xml:space="preserve">et ainsi gagner du temps.</w:t>
      </w:r>
    </w:p>
    <w:p>
      <w:pPr>
        <w:pStyle w:val="Heading3"/>
      </w:pPr>
      <w:bookmarkStart w:id="45" w:name="archives"/>
      <w:r>
        <w:t xml:space="preserve">Archives</w:t>
      </w:r>
      <w:bookmarkEnd w:id="45"/>
    </w:p>
    <w:p>
      <w:pPr>
        <w:pStyle w:val="FirstParagraph"/>
      </w:pPr>
      <w:r>
        <w:t xml:space="preserve">Les archives sont</w:t>
      </w:r>
      <w:r>
        <w:t xml:space="preserve"> </w:t>
      </w:r>
      <w:r>
        <w:rPr>
          <w:b/>
        </w:rPr>
        <w:t xml:space="preserve">générées automatiquement tous les étés</w:t>
      </w:r>
      <w:r>
        <w:t xml:space="preserve">.</w:t>
      </w:r>
      <w:r>
        <w:t xml:space="preserve"> </w:t>
      </w:r>
      <w:r>
        <w:t xml:space="preserve">En tant qu’enseignant vous disposez de tous vos cahiers de texte des années précédentes au format PDF.</w:t>
      </w:r>
    </w:p>
    <w:p>
      <w:pPr>
        <w:pStyle w:val="BodyText"/>
      </w:pPr>
      <w:r>
        <w:drawing>
          <wp:inline>
            <wp:extent cx="5334000" cy="211357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9archiv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11357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Ils sont</w:t>
      </w:r>
      <w:r>
        <w:t xml:space="preserve"> </w:t>
      </w:r>
      <w:r>
        <w:rPr>
          <w:b/>
        </w:rPr>
        <w:t xml:space="preserve">rangés par classe et par matière</w:t>
      </w:r>
      <w:r>
        <w:t xml:space="preserve">.</w:t>
      </w:r>
    </w:p>
    <w:p>
      <w:pPr>
        <w:pStyle w:val="BodyText"/>
      </w:pPr>
      <w:r>
        <w:t xml:space="preserve">Si votre nom a changé, vous pourrez trouver vos archives en tapant votre nom de l’année scolaire concernée dans le champs de recherche</w:t>
      </w:r>
      <w:r>
        <w:t xml:space="preserve"> </w:t>
      </w:r>
      <w:r>
        <w:t xml:space="preserve">“</w:t>
      </w:r>
      <w:r>
        <w:t xml:space="preserve">Rechercher un enseignant</w:t>
      </w:r>
      <w:r>
        <w:t xml:space="preserve">”</w:t>
      </w:r>
      <w:r>
        <w:t xml:space="preserve">.</w:t>
      </w:r>
    </w:p>
    <w:p>
      <w:pPr>
        <w:pStyle w:val="Heading2"/>
      </w:pPr>
      <w:bookmarkStart w:id="47" w:name="profil-vie-scolaire"/>
      <w:r>
        <w:t xml:space="preserve">Profil Vie Scolaire</w:t>
      </w:r>
      <w:bookmarkEnd w:id="47"/>
    </w:p>
    <w:p>
      <w:pPr>
        <w:pStyle w:val="FirstParagraph"/>
      </w:pPr>
      <w:r>
        <w:t xml:space="preserve">Les équipes de la Vie scolaire et les fonctions Direction disposent de droits différents sur ce module, principalement liés à de la consultation et à des actions de contrôle.</w:t>
      </w:r>
    </w:p>
    <w:p>
      <w:pPr>
        <w:pStyle w:val="Heading3"/>
      </w:pPr>
      <w:bookmarkStart w:id="48" w:name="liste-des-cahiers-de-texte-1"/>
      <w:r>
        <w:t xml:space="preserve">Liste des cahiers de texte</w:t>
      </w:r>
      <w:bookmarkEnd w:id="48"/>
    </w:p>
    <w:p>
      <w:pPr>
        <w:pStyle w:val="FirstParagraph"/>
      </w:pPr>
      <w:r>
        <w:t xml:space="preserve">La vue par défaut des équipes de vie scolaire est la vue Liste des cahiers de texte.</w:t>
      </w:r>
    </w:p>
    <w:p>
      <w:pPr>
        <w:pStyle w:val="BodyText"/>
      </w:pPr>
      <w:r>
        <w:drawing>
          <wp:inline>
            <wp:extent cx="5334000" cy="2293334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6tableau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293334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Elle propose :</w:t>
      </w:r>
      <w:r>
        <w:t xml:space="preserve"> </w:t>
      </w:r>
      <w:r>
        <w:rPr>
          <w:b/>
        </w:rPr>
        <w:t xml:space="preserve">une ligne par enseignant et par classe</w:t>
      </w:r>
      <w:r>
        <w:t xml:space="preserve"> </w:t>
      </w:r>
      <w:r>
        <w:t xml:space="preserve">: chaque ligne est donc un cahier de texte.</w:t>
      </w:r>
    </w:p>
    <w:p>
      <w:pPr>
        <w:pStyle w:val="BodyText"/>
      </w:pPr>
      <w:r>
        <w:t xml:space="preserve">En cliquant sur la ligne le détail s’ouvre et il est alors possible de consulter les séances et devoirs de ce cahier de texte.</w:t>
      </w:r>
    </w:p>
    <w:p>
      <w:pPr>
        <w:pStyle w:val="BodyText"/>
      </w:pPr>
      <w:r>
        <w:drawing>
          <wp:inline>
            <wp:extent cx="5334000" cy="117170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6detail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17170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Si le personnel connecté dispose des droits, il lui est possible de</w:t>
      </w:r>
      <w:r>
        <w:t xml:space="preserve"> </w:t>
      </w:r>
      <w:r>
        <w:rPr>
          <w:b/>
        </w:rPr>
        <w:t xml:space="preserve">viser un cahier de texte</w:t>
      </w:r>
      <w:r>
        <w:t xml:space="preserve">. Pour cela, il faut sélectionner le cahier de texte. Un menu apparaît en bas qui permet de sélectionner</w:t>
      </w:r>
      <w:r>
        <w:t xml:space="preserve"> </w:t>
      </w:r>
      <w:r>
        <w:t xml:space="preserve">“</w:t>
      </w:r>
      <w:r>
        <w:t xml:space="preserve">Viser</w:t>
      </w:r>
      <w:r>
        <w:t xml:space="preserve">”</w:t>
      </w:r>
      <w:r>
        <w:t xml:space="preserve">.</w:t>
      </w:r>
    </w:p>
    <w:p>
      <w:pPr>
        <w:pStyle w:val="BodyText"/>
      </w:pPr>
      <w:r>
        <w:drawing>
          <wp:inline>
            <wp:extent cx="5334000" cy="1320848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6toaster_viser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320848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fenêtre s’ouvre pour entrer un commentaire et viser.</w:t>
      </w:r>
    </w:p>
    <w:p>
      <w:pPr>
        <w:pStyle w:val="BodyText"/>
      </w:pPr>
      <w:r>
        <w:drawing>
          <wp:inline>
            <wp:extent cx="5334000" cy="182640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6viser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82640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Heading3"/>
      </w:pPr>
      <w:bookmarkStart w:id="53" w:name="vue-calendaire-1"/>
      <w:r>
        <w:t xml:space="preserve">Vue calendaire</w:t>
      </w:r>
      <w:bookmarkEnd w:id="53"/>
    </w:p>
    <w:p>
      <w:pPr>
        <w:pStyle w:val="FirstParagraph"/>
      </w:pPr>
      <w:r>
        <w:t xml:space="preserve">Il est aussi possible pour l’équipe de vie scolaire de</w:t>
      </w:r>
      <w:r>
        <w:t xml:space="preserve"> </w:t>
      </w:r>
      <w:r>
        <w:rPr>
          <w:b/>
        </w:rPr>
        <w:t xml:space="preserve">consulter la vue calendaire des cahiers de texte</w:t>
      </w:r>
      <w:r>
        <w:t xml:space="preserve">. Cela permet notamment d’accompagner des élèves qui en auraient besoin.</w:t>
      </w:r>
    </w:p>
    <w:p>
      <w:pPr>
        <w:pStyle w:val="BodyText"/>
      </w:pPr>
      <w:r>
        <w:t xml:space="preserve">Sur cette vue vide par défaut, il est</w:t>
      </w:r>
      <w:r>
        <w:t xml:space="preserve"> </w:t>
      </w:r>
      <w:r>
        <w:rPr>
          <w:b/>
        </w:rPr>
        <w:t xml:space="preserve">nécessaire de sélectionner un enseignant et/ou une classe</w:t>
      </w:r>
      <w:r>
        <w:t xml:space="preserve"> </w:t>
      </w:r>
      <w:r>
        <w:t xml:space="preserve">pour en afficher le cahier de texte.</w:t>
      </w:r>
    </w:p>
    <w:p>
      <w:pPr>
        <w:pStyle w:val="BodyText"/>
      </w:pPr>
      <w:r>
        <w:drawing>
          <wp:inline>
            <wp:extent cx="5334000" cy="2269301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7vue_calendaire_viesco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269301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Heading3"/>
      </w:pPr>
      <w:bookmarkStart w:id="55" w:name="archives-1"/>
      <w:r>
        <w:t xml:space="preserve">Archives</w:t>
      </w:r>
      <w:bookmarkEnd w:id="55"/>
    </w:p>
    <w:p>
      <w:pPr>
        <w:pStyle w:val="FirstParagraph"/>
      </w:pPr>
      <w:r>
        <w:t xml:space="preserve">Les archives sont</w:t>
      </w:r>
      <w:r>
        <w:t xml:space="preserve"> </w:t>
      </w:r>
      <w:r>
        <w:rPr>
          <w:b/>
        </w:rPr>
        <w:t xml:space="preserve">générées automatiquement tous les étés</w:t>
      </w:r>
      <w:r>
        <w:t xml:space="preserve">.</w:t>
      </w:r>
      <w:r>
        <w:t xml:space="preserve"> </w:t>
      </w:r>
      <w:r>
        <w:t xml:space="preserve">En tant que personnels de l’établissement vous disposez de tous les cahiers de texte de l’ensemble des enseignants des années précédentes au format PDF.</w:t>
      </w:r>
    </w:p>
    <w:p>
      <w:pPr>
        <w:pStyle w:val="BodyText"/>
      </w:pPr>
      <w:r>
        <w:drawing>
          <wp:inline>
            <wp:extent cx="5334000" cy="211357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9archiv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11357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Ils sont</w:t>
      </w:r>
      <w:r>
        <w:t xml:space="preserve"> </w:t>
      </w:r>
      <w:r>
        <w:rPr>
          <w:b/>
        </w:rPr>
        <w:t xml:space="preserve">rangés par classe, par enseignant et par matière</w:t>
      </w:r>
      <w:r>
        <w:t xml:space="preserve">.</w:t>
      </w:r>
    </w:p>
    <w:p>
      <w:pPr>
        <w:pStyle w:val="Heading2"/>
      </w:pPr>
      <w:bookmarkStart w:id="56" w:name="profil-parents-et-élèves"/>
      <w:r>
        <w:t xml:space="preserve">Profil Parents et élèves</w:t>
      </w:r>
      <w:bookmarkEnd w:id="56"/>
    </w:p>
    <w:p>
      <w:pPr>
        <w:pStyle w:val="FirstParagraph"/>
      </w:pPr>
      <w:r>
        <w:t xml:space="preserve">Les parents et élèves peuvent accéder au module cahier de texte pour y consulter les séances et devoirs à faire.</w:t>
      </w:r>
    </w:p>
    <w:p>
      <w:pPr>
        <w:pStyle w:val="Heading3"/>
      </w:pPr>
      <w:bookmarkStart w:id="57" w:name="vue-liste"/>
      <w:r>
        <w:t xml:space="preserve">Vue liste</w:t>
      </w:r>
      <w:bookmarkEnd w:id="57"/>
    </w:p>
    <w:p>
      <w:pPr>
        <w:pStyle w:val="FirstParagraph"/>
      </w:pPr>
      <w:r>
        <w:drawing>
          <wp:inline>
            <wp:extent cx="5334000" cy="1720645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8vue_list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72064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La vue par défaut des profils Parents et élèves est</w:t>
      </w:r>
      <w:r>
        <w:t xml:space="preserve"> </w:t>
      </w:r>
      <w:r>
        <w:rPr>
          <w:b/>
        </w:rPr>
        <w:t xml:space="preserve">une vue liste qui proposent les prochains devoirs à faire</w:t>
      </w:r>
      <w:r>
        <w:t xml:space="preserve"> </w:t>
      </w:r>
      <w:r>
        <w:t xml:space="preserve">sur les 15 jours à venir.</w:t>
      </w:r>
    </w:p>
    <w:p>
      <w:pPr>
        <w:pStyle w:val="BodyText"/>
      </w:pPr>
      <w:r>
        <w:t xml:space="preserve">Il est toutefois possible d’apporter des</w:t>
      </w:r>
      <w:r>
        <w:t xml:space="preserve"> </w:t>
      </w:r>
      <w:r>
        <w:rPr>
          <w:b/>
        </w:rPr>
        <w:t xml:space="preserve">modifications</w:t>
      </w:r>
      <w:r>
        <w:t xml:space="preserve"> </w:t>
      </w:r>
      <w:r>
        <w:t xml:space="preserve">à cette liste à l’aide de différents filtres :</w:t>
      </w:r>
      <w:r>
        <w:t xml:space="preserve"> </w:t>
      </w:r>
      <w:r>
        <w:t xml:space="preserve">- filtre de</w:t>
      </w:r>
      <w:r>
        <w:t xml:space="preserve"> </w:t>
      </w:r>
      <w:r>
        <w:rPr>
          <w:b/>
        </w:rPr>
        <w:t xml:space="preserve">dates modifiables</w:t>
      </w:r>
      <w:r>
        <w:t xml:space="preserve"> </w:t>
      </w:r>
      <w:r>
        <w:t xml:space="preserve">: il est donc possible de revenir en arrière</w:t>
      </w:r>
      <w:r>
        <w:t xml:space="preserve"> </w:t>
      </w:r>
      <w:r>
        <w:rPr>
          <w:b/>
        </w:rPr>
        <w:t xml:space="preserve">(1)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affichage des devoirs à faire uniquement et/ou des séances</w:t>
      </w:r>
      <w:r>
        <w:t xml:space="preserve"> </w:t>
      </w:r>
      <w:r>
        <w:rPr>
          <w:b/>
        </w:rPr>
        <w:t xml:space="preserve">(2)</w:t>
      </w:r>
      <w:r>
        <w:t xml:space="preserve"> </w:t>
      </w:r>
      <w:r>
        <w:t xml:space="preserve">- filtre de</w:t>
      </w:r>
      <w:r>
        <w:t xml:space="preserve"> </w:t>
      </w:r>
      <w:r>
        <w:rPr>
          <w:b/>
        </w:rPr>
        <w:t xml:space="preserve">discipline</w:t>
      </w:r>
      <w:r>
        <w:t xml:space="preserve"> </w:t>
      </w:r>
      <w:r>
        <w:rPr>
          <w:b/>
        </w:rPr>
        <w:t xml:space="preserve">(3)</w:t>
      </w:r>
    </w:p>
    <w:p>
      <w:pPr>
        <w:pStyle w:val="BodyText"/>
      </w:pPr>
      <w:r>
        <w:t xml:space="preserve">En cliquant sur un travail à faire ou une séance, celui-ci se déplie pour dévoiler son contenu mais il est aussi possible de l’afficher en grand en cliquant sur</w:t>
      </w:r>
      <w:r>
        <w:t xml:space="preserve"> </w:t>
      </w:r>
      <w:r>
        <w:rPr>
          <w:b/>
        </w:rPr>
        <w:t xml:space="preserve">“</w:t>
      </w:r>
      <w:r>
        <w:rPr>
          <w:b/>
        </w:rPr>
        <w:t xml:space="preserve">Voir</w:t>
      </w:r>
      <w:r>
        <w:rPr>
          <w:b/>
        </w:rPr>
        <w:t xml:space="preserve">”</w:t>
      </w:r>
      <w:r>
        <w:t xml:space="preserve"> </w:t>
      </w:r>
      <w:r>
        <w:rPr>
          <w:b/>
        </w:rPr>
        <w:t xml:space="preserve">(4)</w:t>
      </w:r>
      <w:r>
        <w:t xml:space="preserve">.</w:t>
      </w:r>
    </w:p>
    <w:p>
      <w:pPr>
        <w:pStyle w:val="BodyText"/>
      </w:pPr>
      <w:r>
        <w:t xml:space="preserve">Le</w:t>
      </w:r>
      <w:r>
        <w:t xml:space="preserve"> </w:t>
      </w:r>
      <w:r>
        <w:rPr>
          <w:b/>
        </w:rPr>
        <w:t xml:space="preserve">profil élève uniquement peut noter le travail comment ayant été effectué</w:t>
      </w:r>
      <w:r>
        <w:t xml:space="preserve"> </w:t>
      </w:r>
      <w:r>
        <w:rPr>
          <w:b/>
        </w:rPr>
        <w:t xml:space="preserve">(5)</w:t>
      </w:r>
      <w:r>
        <w:t xml:space="preserve">. Les parents voient juste l’état validé ou non par leur enfant.</w:t>
      </w:r>
    </w:p>
    <w:p>
      <w:pPr>
        <w:pStyle w:val="BodyText"/>
      </w:pPr>
      <w:r>
        <w:t xml:space="preserve">Si la vue liste n’est pas assez lisible, il est possible pour les profils Parents et élèves de</w:t>
      </w:r>
      <w:r>
        <w:t xml:space="preserve"> </w:t>
      </w:r>
      <w:r>
        <w:rPr>
          <w:b/>
        </w:rPr>
        <w:t xml:space="preserve">basculer sur une vue calendaire</w:t>
      </w:r>
      <w:r>
        <w:t xml:space="preserve"> </w:t>
      </w:r>
      <w:r>
        <w:rPr>
          <w:b/>
        </w:rPr>
        <w:t xml:space="preserve">(6)</w:t>
      </w:r>
      <w:r>
        <w:t xml:space="preserve">.</w:t>
      </w:r>
    </w:p>
    <w:p>
      <w:pPr>
        <w:pStyle w:val="Heading3"/>
      </w:pPr>
      <w:bookmarkStart w:id="59" w:name="vue-calendaire-2"/>
      <w:r>
        <w:t xml:space="preserve">Vue calendaire</w:t>
      </w:r>
      <w:bookmarkEnd w:id="59"/>
    </w:p>
    <w:p>
      <w:pPr>
        <w:pStyle w:val="FirstParagraph"/>
      </w:pPr>
      <w:r>
        <w:t xml:space="preserve">Cette vue propose l’emploi du temps de l’élève. Avec un jeu de couleur, il est facilement aisé de voir les séances remplies ou les devoirs à effectuer.</w:t>
      </w:r>
    </w:p>
    <w:p>
      <w:pPr>
        <w:pStyle w:val="BodyText"/>
      </w:pPr>
      <w:r>
        <w:drawing>
          <wp:inline>
            <wp:extent cx="5334000" cy="2415793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diary/8vue_calendaire_elev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41579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Légende des couleurs :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vert</w:t>
      </w:r>
      <w:r>
        <w:t xml:space="preserve"> </w:t>
      </w:r>
      <w:r>
        <w:t xml:space="preserve">: une séance a été saisie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orange</w:t>
      </w:r>
      <w:r>
        <w:t xml:space="preserve"> </w:t>
      </w:r>
      <w:r>
        <w:t xml:space="preserve">: un travail à faire a été saisi pour ce créneau</w:t>
      </w:r>
      <w:r>
        <w:t xml:space="preserve"> </w:t>
      </w:r>
      <w:r>
        <w:t xml:space="preserve">-</w:t>
      </w:r>
      <w:r>
        <w:t xml:space="preserve"> </w:t>
      </w:r>
      <w:r>
        <w:rPr>
          <w:b/>
        </w:rPr>
        <w:t xml:space="preserve">vert et orange</w:t>
      </w:r>
      <w:r>
        <w:t xml:space="preserve"> </w:t>
      </w:r>
      <w:r>
        <w:t xml:space="preserve">: une séance et un ou plusieurs devoirs ont été saisis sur ce créneau</w:t>
      </w:r>
    </w:p>
    <w:sectPr/>
  </w:body>
</w:document>
</file>

<file path=word/comments.xml><?xml version="1.0" encoding="utf-8"?>
<w:comment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/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="http://schemas.openxmlformats.org/wordprocessingml/2006/main">
  <w:abstractNum w:abstractNumId="990">
    <w:nsid w:val="2c1ae401"/>
    <w:multiLevelType w:val="multilevel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  <w:lvl w:ilvl="7">
      <w:numFmt w:val="bullet"/>
      <w:lvlText w:val=" "/>
      <w:lvlJc w:val="left"/>
      <w:pPr>
        <w:tabs>
          <w:tab w:val="num" w:pos="5040"/>
        </w:tabs>
        <w:ind w:left="5520" w:hanging="480"/>
      </w:pPr>
    </w:lvl>
    <w:lvl w:ilvl="8">
      <w:numFmt w:val="bullet"/>
      <w:lvlText w:val=" "/>
      <w:lvlJc w:val="left"/>
      <w:pPr>
        <w:tabs>
          <w:tab w:val="num" w:pos="5760"/>
        </w:tabs>
        <w:ind w:left="6240" w:hanging="480"/>
      </w:pPr>
    </w:lvl>
  </w:abstractNum>
  <w:abstractNum w:abstractNumId="991">
    <w:nsid w:val="ea454b4c"/>
    <w:multiLevelType w:val="multilevel"/>
    <w:lvl w:ilvl="0">
      <w:numFmt w:val="bullet"/>
      <w:lvlText w:val="•"/>
      <w:lvlJc w:val="left"/>
      <w:pPr>
        <w:tabs>
          <w:tab w:val="num" w:pos="0"/>
        </w:tabs>
        <w:ind w:left="480" w:hanging="480"/>
      </w:pPr>
    </w:lvl>
    <w:lvl w:ilvl="1">
      <w:numFmt w:val="bullet"/>
      <w:lvlText w:val="–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•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–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•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–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•"/>
      <w:lvlJc w:val="left"/>
      <w:pPr>
        <w:tabs>
          <w:tab w:val="num" w:pos="4320"/>
        </w:tabs>
        <w:ind w:left="4800" w:hanging="480"/>
      </w:pPr>
    </w:lvl>
    <w:lvl w:ilvl="7">
      <w:numFmt w:val="bullet"/>
      <w:lvlText w:val="–"/>
      <w:lvlJc w:val="left"/>
      <w:pPr>
        <w:tabs>
          <w:tab w:val="num" w:pos="5040"/>
        </w:tabs>
        <w:ind w:left="5520" w:hanging="480"/>
      </w:pPr>
    </w:lvl>
    <w:lvl w:ilvl="8">
      <w:numFmt w:val="bullet"/>
      <w:lvlText w:val="•"/>
      <w:lvlJc w:val="left"/>
      <w:pPr>
        <w:tabs>
          <w:tab w:val="num" w:pos="5760"/>
        </w:tabs>
        <w:ind w:left="6240" w:hanging="480"/>
      </w:pPr>
    </w:lvl>
  </w:abstractNum>
  <w:num w:numId="1000">
    <w:abstractNumId w:val="990"/>
  </w:num>
  <w:num w:numId="1001">
    <w:abstractNumId w:val="991"/>
  </w:num>
  <w:num w:numId="1002">
    <w:abstractNumId w:val="991"/>
  </w:num>
  <w:num w:numId="1003">
    <w:abstractNumId w:val="991"/>
  </w:num>
  <w:num w:numId="1004">
    <w:abstractNumId w:val="99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0004"/>
  <w:footnotePr>
    <w:footnote w:id="-1"/>
    <w:footnote w:id="0"/>
  </w:footnotePr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rsids>
    <w:rsidRoot w:val="00590D07"/>
    <w:rsid w:val="00011C8B"/>
    <w:rsid w:val="004E29B3"/>
    <w:rsid w:val="00590D07"/>
    <w:rsid w:val="00784D58"/>
    <w:rsid w:val="008D6863"/>
    <w:rsid w:val="00B86B75"/>
    <w:rsid w:val="00BC48D5"/>
    <w:rsid w:val="00C36279"/>
    <w:rsid w:val="00E315A3"/>
  </w:rsids>
  <m:mathPr>
    <m:mathFont m:val="Lucida Grande"/>
    <m:brkBin m:val="before"/>
    <m:brkBinSub m:val="--"/>
    <m:smallFrac m:val="false"/>
    <m:dispDef m:val="false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:proofState w:spelling="clean" w:grammar="clean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/>
  <w:style w:type="paragraph" w:default="1" w:styleId="Normal">
    <w:name w:val="Normal"/>
    <w:qFormat/>
  </w:style>
  <w:style w:type="paragraph" w:styleId="BodyText">
    <w:name w:val="Body Text"/>
    <w:basedOn w:val="Normal"/>
    <w:link w:val="BodyTextChar"/>
    <w:pPr>
      <w:spacing w:before="180" w:after="180"/>
    </w:pPr>
    <w:qFormat/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qFormat/>
    <w:pPr>
      <w:keepNext/>
      <w:keepLines/>
      <w:spacing w:before="480" w:after="240"/>
      <w:jc w:val="center"/>
    </w:pPr>
    <w:rPr>
      <w:rFonts w:asciiTheme="majorHAnsi" w:eastAsiaTheme="majorEastAsia" w:hAnsiTheme="majorHAnsi" w:cstheme="majorBidi"/>
      <w:b/>
      <w:bCs/>
      <w:color w:val="345A8A" w:themeColor="accent1" w:themeShade="B5"/>
      <w:sz w:val="36"/>
      <w:szCs w:val="36"/>
    </w:rPr>
  </w:style>
  <w:style w:type="paragraph" w:styleId="Subtitle">
    <w:name w:val="Subtitle"/>
    <w:basedOn w:val="Title"/>
    <w:next w:val="BodyText"/>
    <w:qFormat/>
    <w:pPr>
      <w:keepNext/>
      <w:keepLines/>
      <w:spacing w:before="240" w:after="240"/>
      <w:jc w:val="center"/>
    </w:pPr>
    <w:rPr>
      <w:sz w:val="30"/>
      <w:szCs w:val="30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">
    <w:name w:val="Abstract"/>
    <w:basedOn w:val="Normal"/>
    <w:next w:val="BodyText"/>
    <w:qFormat/>
    <w:pPr>
      <w:keepNext/>
      <w:keepLines/>
      <w:spacing w:before="300" w:after="300"/>
    </w:pPr>
    <w:rPr>
      <w:sz w:val="20"/>
      <w:szCs w:val="20"/>
    </w:rPr>
  </w:style>
  <w:style w:type="paragraph" w:styleId="Bibliography">
    <w:name w:val="Bibliography"/>
    <w:basedOn w:val="Normal"/>
    <w:next w:val="Bibliography"/>
    <w:qFormat/>
    <w:pPr/>
    <w:rPr/>
  </w:style>
  <w:style w:type="paragraph" w:styleId="Heading1">
    <w:name w:val="Heading 1"/>
    <w:basedOn w:val="Normal"/>
    <w:next w:val="BodyText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2"/>
    </w:rPr>
  </w:style>
  <w:style w:type="paragraph" w:styleId="Heading2">
    <w:name w:val="Heading 2"/>
    <w:basedOn w:val="Normal"/>
    <w:next w:val="BodyText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paragraph" w:styleId="Heading3">
    <w:name w:val="Heading 3"/>
    <w:basedOn w:val="Normal"/>
    <w:next w:val="BodyText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Heading4">
    <w:name w:val="Heading 4"/>
    <w:basedOn w:val="Normal"/>
    <w:next w:val="BodyText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i/>
      <w:bCs/>
      <w:color w:val="4F81BD" w:themeColor="accent1"/>
      <w:sz w:val="24"/>
      <w:szCs w:val="24"/>
    </w:rPr>
  </w:style>
  <w:style w:type="paragraph" w:styleId="Heading5">
    <w:name w:val="Heading 5"/>
    <w:basedOn w:val="Normal"/>
    <w:next w:val="BodyText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Cs/>
      <w:color w:val="4F81BD" w:themeColor="accent1"/>
      <w:sz w:val="24"/>
      <w:szCs w:val="24"/>
    </w:rPr>
  </w:style>
  <w:style w:type="paragraph" w:styleId="Heading6">
    <w:name w:val="Heading 6"/>
    <w:basedOn w:val="Normal"/>
    <w:next w:val="BodyText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7">
    <w:name w:val="Heading 7"/>
    <w:basedOn w:val="Normal"/>
    <w:next w:val="BodyText"/>
    <w:uiPriority w:val="9"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8">
    <w:name w:val="Heading 8"/>
    <w:basedOn w:val="Normal"/>
    <w:next w:val="BodyText"/>
    <w:uiPriority w:val="9"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9">
    <w:name w:val="Heading 9"/>
    <w:basedOn w:val="Normal"/>
    <w:next w:val="BodyText"/>
    <w:uiPriority w:val="9"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firstLine="0" w:left="480" w:right="480"/>
    </w:pPr>
  </w:style>
  <w:style w:type="paragraph" w:styleId="FootnoteText">
    <w:name w:val="Footnote Text"/>
    <w:basedOn w:val="Normal"/>
    <w:next w:val="FootnoteText"/>
    <w:uiPriority w:val="9"/>
    <w:unhideWhenUsed/>
    <w:qFormat/>
  </w:style>
  <w:style w:type="character" w:default="1" w:styleId="DefaultParagraphFont">
    <w:name w:val="Default Paragraph Font"/>
    <w:semiHidden/>
    <w:unhideWhenUsed/>
  </w:style>
  <w:style w:type="table" w:default="1" w:styleId="Table">
    <w:name w:val="Table"/>
    <w:basedOn w:val="TableNormal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BodyTextChar"/>
    <w:pPr>
      <w:spacing w:before="0"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BodyTextChar">
    <w:name w:val="Body Text Char"/>
    <w:basedOn w:val="DefaultParagraphFont"/>
    <w:link w:val="BodyText"/>
  </w:style>
  <w:style w:type="character" w:customStyle="1" w:styleId="VerbatimChar">
    <w:name w:val="Verbatim Char"/>
    <w:basedOn w:val="BodyTextChar"/>
    <w:rPr>
      <w:rFonts w:ascii="Consolas" w:hAnsi="Consolas"/>
      <w:sz w:val="22"/>
    </w:rPr>
  </w:style>
  <w:style w:type="character" w:styleId="FootnoteReference">
    <w:name w:val="Footnote Reference"/>
    <w:basedOn w:val="BodyTextChar"/>
    <w:rPr>
      <w:vertAlign w:val="superscript"/>
    </w:rPr>
  </w:style>
  <w:style w:type="character" w:styleId="Hyperlink">
    <w:name w:val="Hyperlink"/>
    <w:basedOn w:val="BodyTextChar"/>
    <w:rPr>
      <w:color w:val="4F81BD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</w:rPr>
  </w:style>
  <w:style w:type="paragraph" w:customStyle="1" w:styleId="SourceCode">
    <w:name w:val="Source Code"/>
    <w:basedOn w:val="Normal"/>
    <w:link w:val="VerbatimChar"/>
    <w:pPr>
      <w:wordWrap w:val="off"/>
    </w:pPr>
  </w:style>
  <w:style w:type="character" w:customStyle="1" w:styleId="KeywordTok">
    <w:name w:val="KeywordTok"/>
    <w:basedOn w:val="VerbatimChar"/>
    <w:rPr>
      <w:color w:val="007020"/>
      <w:b/>
    </w:rPr>
  </w:style>
  <w:style w:type="character" w:customStyle="1" w:styleId="DataTypeTok">
    <w:name w:val="DataTypeTok"/>
    <w:basedOn w:val="VerbatimChar"/>
    <w:rPr>
      <w:color w:val="902000"/>
    </w:rPr>
  </w:style>
  <w:style w:type="character" w:customStyle="1" w:styleId="DecValTok">
    <w:name w:val="DecValTok"/>
    <w:basedOn w:val="VerbatimChar"/>
    <w:rPr>
      <w:color w:val="40a070"/>
    </w:rPr>
  </w:style>
  <w:style w:type="character" w:customStyle="1" w:styleId="BaseNTok">
    <w:name w:val="BaseNTok"/>
    <w:basedOn w:val="VerbatimChar"/>
    <w:rPr>
      <w:color w:val="40a070"/>
    </w:rPr>
  </w:style>
  <w:style w:type="character" w:customStyle="1" w:styleId="FloatTok">
    <w:name w:val="FloatTok"/>
    <w:basedOn w:val="VerbatimChar"/>
    <w:rPr>
      <w:color w:val="40a070"/>
    </w:rPr>
  </w:style>
  <w:style w:type="character" w:customStyle="1" w:styleId="ConstantTok">
    <w:name w:val="ConstantTok"/>
    <w:basedOn w:val="VerbatimChar"/>
    <w:rPr>
      <w:color w:val="880000"/>
    </w:rPr>
  </w:style>
  <w:style w:type="character" w:customStyle="1" w:styleId="CharTok">
    <w:name w:val="CharTok"/>
    <w:basedOn w:val="VerbatimChar"/>
    <w:rPr>
      <w:color w:val="4070a0"/>
    </w:rPr>
  </w:style>
  <w:style w:type="character" w:customStyle="1" w:styleId="SpecialCharTok">
    <w:name w:val="SpecialCharTok"/>
    <w:basedOn w:val="VerbatimChar"/>
    <w:rPr>
      <w:color w:val="4070a0"/>
    </w:rPr>
  </w:style>
  <w:style w:type="character" w:customStyle="1" w:styleId="StringTok">
    <w:name w:val="StringTok"/>
    <w:basedOn w:val="VerbatimChar"/>
    <w:rPr>
      <w:color w:val="4070a0"/>
    </w:rPr>
  </w:style>
  <w:style w:type="character" w:customStyle="1" w:styleId="VerbatimStringTok">
    <w:name w:val="VerbatimStringTok"/>
    <w:basedOn w:val="VerbatimChar"/>
    <w:rPr>
      <w:color w:val="4070a0"/>
    </w:rPr>
  </w:style>
  <w:style w:type="character" w:customStyle="1" w:styleId="SpecialStringTok">
    <w:name w:val="SpecialStringTok"/>
    <w:basedOn w:val="VerbatimChar"/>
    <w:rPr>
      <w:color w:val="bb6688"/>
    </w:rPr>
  </w:style>
  <w:style w:type="character" w:customStyle="1" w:styleId="ImportTok">
    <w:name w:val="ImportTok"/>
    <w:basedOn w:val="VerbatimChar"/>
    <w:rPr/>
  </w:style>
  <w:style w:type="character" w:customStyle="1" w:styleId="CommentTok">
    <w:name w:val="CommentTok"/>
    <w:basedOn w:val="VerbatimChar"/>
    <w:rPr>
      <w:color w:val="60a0b0"/>
      <w:i/>
    </w:rPr>
  </w:style>
  <w:style w:type="character" w:customStyle="1" w:styleId="DocumentationTok">
    <w:name w:val="DocumentationTok"/>
    <w:basedOn w:val="VerbatimChar"/>
    <w:rPr>
      <w:color w:val="ba2121"/>
      <w:i/>
    </w:rPr>
  </w:style>
  <w:style w:type="character" w:customStyle="1" w:styleId="AnnotationTok">
    <w:name w:val="AnnotationTok"/>
    <w:basedOn w:val="VerbatimChar"/>
    <w:rPr>
      <w:color w:val="60a0b0"/>
      <w:b/>
      <w:i/>
    </w:rPr>
  </w:style>
  <w:style w:type="character" w:customStyle="1" w:styleId="CommentVarTok">
    <w:name w:val="CommentVarTok"/>
    <w:basedOn w:val="VerbatimChar"/>
    <w:rPr>
      <w:color w:val="60a0b0"/>
      <w:b/>
      <w:i/>
    </w:rPr>
  </w:style>
  <w:style w:type="character" w:customStyle="1" w:styleId="OtherTok">
    <w:name w:val="OtherTok"/>
    <w:basedOn w:val="VerbatimChar"/>
    <w:rPr>
      <w:color w:val="007020"/>
    </w:rPr>
  </w:style>
  <w:style w:type="character" w:customStyle="1" w:styleId="FunctionTok">
    <w:name w:val="FunctionTok"/>
    <w:basedOn w:val="VerbatimChar"/>
    <w:rPr>
      <w:color w:val="06287e"/>
    </w:rPr>
  </w:style>
  <w:style w:type="character" w:customStyle="1" w:styleId="VariableTok">
    <w:name w:val="VariableTok"/>
    <w:basedOn w:val="VerbatimChar"/>
    <w:rPr>
      <w:color w:val="19177c"/>
    </w:rPr>
  </w:style>
  <w:style w:type="character" w:customStyle="1" w:styleId="ControlFlowTok">
    <w:name w:val="ControlFlowTok"/>
    <w:basedOn w:val="VerbatimChar"/>
    <w:rPr>
      <w:color w:val="007020"/>
      <w:b/>
    </w:rPr>
  </w:style>
  <w:style w:type="character" w:customStyle="1" w:styleId="OperatorTok">
    <w:name w:val="OperatorTok"/>
    <w:basedOn w:val="VerbatimChar"/>
    <w:rPr>
      <w:color w:val="666666"/>
    </w:rPr>
  </w:style>
  <w:style w:type="character" w:customStyle="1" w:styleId="BuiltInTok">
    <w:name w:val="BuiltInTok"/>
    <w:basedOn w:val="VerbatimChar"/>
    <w:rPr/>
  </w:style>
  <w:style w:type="character" w:customStyle="1" w:styleId="ExtensionTok">
    <w:name w:val="ExtensionTok"/>
    <w:basedOn w:val="VerbatimChar"/>
    <w:rPr/>
  </w:style>
  <w:style w:type="character" w:customStyle="1" w:styleId="PreprocessorTok">
    <w:name w:val="PreprocessorTok"/>
    <w:basedOn w:val="VerbatimChar"/>
    <w:rPr>
      <w:color w:val="bc7a00"/>
    </w:rPr>
  </w:style>
  <w:style w:type="character" w:customStyle="1" w:styleId="AttributeTok">
    <w:name w:val="AttributeTok"/>
    <w:basedOn w:val="VerbatimChar"/>
    <w:rPr>
      <w:color w:val="7d9029"/>
    </w:rPr>
  </w:style>
  <w:style w:type="character" w:customStyle="1" w:styleId="RegionMarkerTok">
    <w:name w:val="RegionMarkerTok"/>
    <w:basedOn w:val="VerbatimChar"/>
    <w:rPr/>
  </w:style>
  <w:style w:type="character" w:customStyle="1" w:styleId="InformationTok">
    <w:name w:val="InformationTok"/>
    <w:basedOn w:val="VerbatimChar"/>
    <w:rPr>
      <w:color w:val="60a0b0"/>
      <w:b/>
      <w:i/>
    </w:rPr>
  </w:style>
  <w:style w:type="character" w:customStyle="1" w:styleId="WarningTok">
    <w:name w:val="WarningTok"/>
    <w:basedOn w:val="VerbatimChar"/>
    <w:rPr>
      <w:color w:val="60a0b0"/>
      <w:b/>
      <w:i/>
    </w:rPr>
  </w:style>
  <w:style w:type="character" w:customStyle="1" w:styleId="AlertTok">
    <w:name w:val="AlertTok"/>
    <w:basedOn w:val="VerbatimChar"/>
    <w:rPr>
      <w:color w:val="ff0000"/>
      <w:b/>
    </w:rPr>
  </w:style>
  <w:style w:type="character" w:customStyle="1" w:styleId="ErrorTok">
    <w:name w:val="ErrorTok"/>
    <w:basedOn w:val="VerbatimChar"/>
    <w:rPr>
      <w:color w:val="ff0000"/>
      <w:b/>
    </w:rPr>
  </w:style>
  <w:style w:type="character" w:customStyle="1" w:styleId="NormalTok">
    <w:name w:val="NormalTok"/>
    <w:basedOn w:val="VerbatimChar"/>
    <w:rPr/>
  </w:style>
</w:styles>
</file>

<file path=word/webSettings.xml><?xml version="1.0" encoding="utf-8"?>
<ns0:webSettings xmlns:ns0="http://schemas.openxmlformats.org/wordprocessingml/2006/main">
  <ns0:allowPNG/>
  <ns0:doNotSaveAsSingleFile/>
</ns0:webSettings>
</file>

<file path=word/_rels/document.xml.rels><?xml version="1.0" encoding="UTF-8"?>
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Relationship Type="http://schemas.openxmlformats.org/officeDocument/2006/relationships/comments" Id="rId8" Target="comments.xml" /><Relationship Type="http://schemas.openxmlformats.org/officeDocument/2006/relationships/image" Id="rId25" Target="media/rId25.png" /><Relationship Type="http://schemas.openxmlformats.org/officeDocument/2006/relationships/image" Id="rId24" Target="media/rId24.png" /><Relationship Type="http://schemas.openxmlformats.org/officeDocument/2006/relationships/image" Id="rId34" Target="media/rId34.png" /><Relationship Type="http://schemas.openxmlformats.org/officeDocument/2006/relationships/image" Id="rId29" Target="media/rId29.png" /><Relationship Type="http://schemas.openxmlformats.org/officeDocument/2006/relationships/image" Id="rId31" Target="media/rId31.png" /><Relationship Type="http://schemas.openxmlformats.org/officeDocument/2006/relationships/image" Id="rId32" Target="media/rId32.png" /><Relationship Type="http://schemas.openxmlformats.org/officeDocument/2006/relationships/image" Id="rId38" Target="media/rId38.png" /><Relationship Type="http://schemas.openxmlformats.org/officeDocument/2006/relationships/image" Id="rId37" Target="media/rId37.png" /><Relationship Type="http://schemas.openxmlformats.org/officeDocument/2006/relationships/image" Id="rId36" Target="media/rId36.png" /><Relationship Type="http://schemas.openxmlformats.org/officeDocument/2006/relationships/image" Id="rId44" Target="media/rId44.png" /><Relationship Type="http://schemas.openxmlformats.org/officeDocument/2006/relationships/image" Id="rId41" Target="media/rId41.png" /><Relationship Type="http://schemas.openxmlformats.org/officeDocument/2006/relationships/image" Id="rId43" Target="media/rId43.png" /><Relationship Type="http://schemas.openxmlformats.org/officeDocument/2006/relationships/image" Id="rId50" Target="media/rId50.png" /><Relationship Type="http://schemas.openxmlformats.org/officeDocument/2006/relationships/image" Id="rId49" Target="media/rId49.png" /><Relationship Type="http://schemas.openxmlformats.org/officeDocument/2006/relationships/image" Id="rId51" Target="media/rId51.png" /><Relationship Type="http://schemas.openxmlformats.org/officeDocument/2006/relationships/image" Id="rId52" Target="media/rId52.png" /><Relationship Type="http://schemas.openxmlformats.org/officeDocument/2006/relationships/image" Id="rId54" Target="media/rId54.png" /><Relationship Type="http://schemas.openxmlformats.org/officeDocument/2006/relationships/image" Id="rId60" Target="media/rId60.png" /><Relationship Type="http://schemas.openxmlformats.org/officeDocument/2006/relationships/image" Id="rId58" Target="media/rId58.png" /><Relationship Type="http://schemas.openxmlformats.org/officeDocument/2006/relationships/image" Id="rId46" Target="media/rId46.png" /></Relationships>
</file>

<file path=word/_rels/footnotes.xml.rels><?xml version="1.0" encoding="UTF-8"?>
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83</Words>
  <SharedDoc>false</SharedDoc>
  <HyperlinksChanged>false</HyperlinksChanged>
  <Lines>12</Lines>
  <AppVersion>12.0000</AppVersion>
  <LinksUpToDate>false</LinksUpToDate>
  <Application>Microsoft Word 12.0.0</Application>
  <CharactersWithSpaces>583</CharactersWithSpaces>
  <Template>Normal.dotm</Template>
  <DocSecurity>0</DocSecurity>
  <TotalTime>6</TotalTime>
  <ScaleCrop>false</ScaleCrop>
  <Characters>475</Characters>
  <Paragraphs>8</Paragraphs>
  <Pages>1</Pag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dcterms:created xsi:type="dcterms:W3CDTF">2021-08-12T12:33:04Z</dcterms:created>
  <dcterms:modified xsi:type="dcterms:W3CDTF">2021-08-12T12:33:04Z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