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0.png" ContentType="image/png"/>
  <Override PartName="/word/media/rId25.png" ContentType="image/png"/>
  <Override PartName="/word/media/rId23.png" ContentType="image/png"/>
  <Override PartName="/word/media/rId22.png" ContentType="image/png"/>
  <Override PartName="/word/media/rId24.png" ContentType="image/png"/>
  <Override PartName="/word/media/rId27.png" ContentType="image/png"/>
  <Override PartName="/word/media/rId28.png" ContentType="image/png"/>
  <Override PartName="/word/media/rId29.png" ContentType="image/png"/>
  <Override PartName="/word/media/rId32.png" ContentType="image/png"/>
  <Override PartName="/word/media/rId31.png" ContentType="image/png"/>
  <Override PartName="/word/media/rId34.png" ContentType="image/png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bookmarkStart w:id="36" w:name="minibadges"/>
    <w:p>
      <w:pPr>
        <w:pStyle w:val="Heading1"/>
      </w:pPr>
      <w:r>
        <w:t xml:space="preserve">Minibadges</w:t>
      </w:r>
    </w:p>
    <w:p>
      <w:pPr>
        <w:pStyle w:val="FirstParagraph"/>
      </w:pPr>
      <w:r>
        <w:t xml:space="preserve">L’application Minibadges permet à des utilisateurs de s’initier à la notion d’Open Badges en</w:t>
      </w:r>
      <w:r>
        <w:t xml:space="preserve"> </w:t>
      </w:r>
      <w:r>
        <w:rPr>
          <w:bCs/>
          <w:b/>
        </w:rPr>
        <w:t xml:space="preserve">se décernant des badges en fonction de compétences reconnues entre pairs</w:t>
      </w:r>
      <w:r>
        <w:t xml:space="preserve">.</w:t>
      </w:r>
    </w:p>
    <w:bookmarkStart w:id="21" w:name="le-consentement"/>
    <w:p>
      <w:pPr>
        <w:pStyle w:val="Heading2"/>
      </w:pPr>
      <w:r>
        <w:t xml:space="preserve">Le consentement</w:t>
      </w:r>
    </w:p>
    <w:p>
      <w:pPr>
        <w:pStyle w:val="FirstParagraph"/>
      </w:pPr>
      <w:r>
        <w:t xml:space="preserve">Il n’est</w:t>
      </w:r>
      <w:r>
        <w:t xml:space="preserve"> </w:t>
      </w:r>
      <w:r>
        <w:rPr>
          <w:bCs/>
          <w:b/>
        </w:rPr>
        <w:t xml:space="preserve">en aucun cas obligé de participer</w:t>
      </w:r>
      <w:r>
        <w:t xml:space="preserve"> </w:t>
      </w:r>
      <w:r>
        <w:t xml:space="preserve">aux minibadges. A la connexion au module et via le bouton</w:t>
      </w:r>
      <w:r>
        <w:t xml:space="preserve"> </w:t>
      </w:r>
      <w:r>
        <w:t xml:space="preserve">“</w:t>
      </w:r>
      <w:r>
        <w:t xml:space="preserve">Réglages</w:t>
      </w:r>
      <w:r>
        <w:t xml:space="preserve">”</w:t>
      </w:r>
      <w:r>
        <w:t xml:space="preserve">, il est possible de</w:t>
      </w:r>
      <w:r>
        <w:t xml:space="preserve"> </w:t>
      </w:r>
      <w:r>
        <w:rPr>
          <w:bCs/>
          <w:b/>
        </w:rPr>
        <w:t xml:space="preserve">refuser d’apparaître dans les recherches</w:t>
      </w:r>
      <w:r>
        <w:t xml:space="preserve"> </w:t>
      </w:r>
      <w:r>
        <w:t xml:space="preserve">et donc de refuser les interactions via les badges.</w:t>
      </w:r>
    </w:p>
    <w:p>
      <w:pPr>
        <w:pStyle w:val="BodyText"/>
      </w:pPr>
      <w:r>
        <w:t xml:space="preserve">En revanche, si vous acceptez de participer, il faut alors</w:t>
      </w:r>
      <w:r>
        <w:t xml:space="preserve"> </w:t>
      </w:r>
      <w:r>
        <w:rPr>
          <w:bCs/>
          <w:b/>
        </w:rPr>
        <w:t xml:space="preserve">valider la charte</w:t>
      </w:r>
      <w:r>
        <w:t xml:space="preserve">.</w:t>
      </w:r>
    </w:p>
    <w:p>
      <w:pPr>
        <w:pStyle w:val="BodyText"/>
      </w:pPr>
      <w:r>
        <w:drawing>
          <wp:inline>
            <wp:extent cx="5334000" cy="516350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1_consentement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16350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1"/>
    <w:bookmarkStart w:id="26" w:name="badges-reçus"/>
    <w:p>
      <w:pPr>
        <w:pStyle w:val="Heading2"/>
      </w:pPr>
      <w:r>
        <w:t xml:space="preserve">Badges reçus</w:t>
      </w:r>
    </w:p>
    <w:p>
      <w:pPr>
        <w:pStyle w:val="FirstParagraph"/>
      </w:pPr>
      <w:r>
        <w:t xml:space="preserve">A l’ouverture du module, vous arrivez sur</w:t>
      </w:r>
      <w:r>
        <w:t xml:space="preserve"> </w:t>
      </w:r>
      <w:r>
        <w:rPr>
          <w:bCs/>
          <w:b/>
        </w:rPr>
        <w:t xml:space="preserve">la page des badges reçus</w:t>
      </w:r>
      <w:r>
        <w:t xml:space="preserve">. Elle est composée de 3 blocs :</w:t>
      </w:r>
      <w:r>
        <w:t xml:space="preserve"> </w:t>
      </w:r>
      <w:r>
        <w:t xml:space="preserve">*</w:t>
      </w:r>
      <w:r>
        <w:t xml:space="preserve"> </w:t>
      </w:r>
      <w:r>
        <w:rPr>
          <w:bCs/>
          <w:b/>
        </w:rPr>
        <w:t xml:space="preserve">Badges reçus publics</w:t>
      </w:r>
      <w:r>
        <w:t xml:space="preserve">: votre nom apparaît dans les statistiques du badge</w:t>
      </w:r>
    </w:p>
    <w:p>
      <w:pPr>
        <w:pStyle w:val="BodyText"/>
      </w:pPr>
      <w:r>
        <w:drawing>
          <wp:inline>
            <wp:extent cx="5334000" cy="178476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2_badgespublic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78476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001"/>
        </w:numPr>
        <w:pStyle w:val="Compact"/>
      </w:pPr>
      <w:r>
        <w:rPr>
          <w:bCs/>
          <w:b/>
        </w:rPr>
        <w:t xml:space="preserve">Badges reçus privés</w:t>
      </w:r>
      <w:r>
        <w:t xml:space="preserve">: votre nom n’apparaît nulle part dans le module associé au badge</w:t>
      </w:r>
    </w:p>
    <w:p>
      <w:pPr>
        <w:pStyle w:val="FirstParagraph"/>
      </w:pPr>
      <w:r>
        <w:drawing>
          <wp:inline>
            <wp:extent cx="5286615" cy="579376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2_badgespriv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615" cy="579376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002"/>
        </w:numPr>
        <w:pStyle w:val="Compact"/>
      </w:pPr>
      <w:r>
        <w:rPr>
          <w:bCs/>
          <w:b/>
        </w:rPr>
        <w:t xml:space="preserve">Badges reçus refusés</w:t>
      </w:r>
      <w:r>
        <w:t xml:space="preserve">: il n’est plus possible de vous octroyer ce badge et vous n’apparaissait nulle part en lien avec ce badge.</w:t>
      </w:r>
    </w:p>
    <w:p>
      <w:pPr>
        <w:pStyle w:val="FirstParagraph"/>
      </w:pPr>
      <w:r>
        <w:drawing>
          <wp:inline>
            <wp:extent cx="4441371" cy="6062702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2_badgesrefus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371" cy="606270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Pour</w:t>
      </w:r>
      <w:r>
        <w:t xml:space="preserve"> </w:t>
      </w:r>
      <w:r>
        <w:rPr>
          <w:bCs/>
          <w:b/>
        </w:rPr>
        <w:t xml:space="preserve">déplacer un badge d’une catégorie à l’autre</w:t>
      </w:r>
      <w:r>
        <w:t xml:space="preserve">, cela se fait à l’aide des 3 petits points dans le badge.</w:t>
      </w:r>
    </w:p>
    <w:p>
      <w:pPr>
        <w:pStyle w:val="BodyText"/>
      </w:pPr>
      <w:r>
        <w:drawing>
          <wp:inline>
            <wp:extent cx="1905640" cy="1129552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2_action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40" cy="112955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Si vous décidez d’arrêtez de participer à Minibadges, tous les badges reçus passent en refusés. Si vous revenez, ils retrouveront leur catégorie initiale.</w:t>
      </w:r>
    </w:p>
    <w:bookmarkEnd w:id="26"/>
    <w:bookmarkStart w:id="30" w:name="décerner-un-badge"/>
    <w:p>
      <w:pPr>
        <w:pStyle w:val="Heading2"/>
      </w:pPr>
      <w:r>
        <w:t xml:space="preserve">Décerner un badge</w:t>
      </w:r>
    </w:p>
    <w:p>
      <w:pPr>
        <w:pStyle w:val="FirstParagraph"/>
      </w:pPr>
      <w:r>
        <w:t xml:space="preserve">La collection de badges propose une</w:t>
      </w:r>
      <w:r>
        <w:t xml:space="preserve"> </w:t>
      </w:r>
      <w:r>
        <w:rPr>
          <w:bCs/>
          <w:b/>
        </w:rPr>
        <w:t xml:space="preserve">liste de badges</w:t>
      </w:r>
      <w:r>
        <w:t xml:space="preserve"> </w:t>
      </w:r>
      <w:r>
        <w:t xml:space="preserve">qu’il est possible de décerner</w:t>
      </w:r>
      <w:r>
        <w:t xml:space="preserve"> </w:t>
      </w:r>
      <w:r>
        <w:rPr>
          <w:bCs/>
          <w:b/>
        </w:rPr>
        <w:t xml:space="preserve">à des utilisateurs avec qui vous pouvez communiquer dans l’ENT</w:t>
      </w:r>
      <w:r>
        <w:t xml:space="preserve">.</w:t>
      </w:r>
    </w:p>
    <w:p>
      <w:pPr>
        <w:pStyle w:val="BodyText"/>
      </w:pPr>
      <w:r>
        <w:drawing>
          <wp:inline>
            <wp:extent cx="5334000" cy="2263948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3_collectionbadg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263948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drawing>
          <wp:inline>
            <wp:extent cx="5334000" cy="243949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3_decernerbadg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43949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</w:t>
      </w:r>
      <w:r>
        <w:t xml:space="preserve"> </w:t>
      </w:r>
      <w:r>
        <w:rPr>
          <w:bCs/>
          <w:b/>
        </w:rPr>
        <w:t xml:space="preserve">quota d’octroi de badges</w:t>
      </w:r>
      <w:r>
        <w:t xml:space="preserve"> </w:t>
      </w:r>
      <w:r>
        <w:t xml:space="preserve">par jour est défini au moment de l’initialisation du projet. Vous ne pouvez pas le dépasser.</w:t>
      </w:r>
    </w:p>
    <w:p>
      <w:pPr>
        <w:pStyle w:val="BodyText"/>
      </w:pPr>
      <w:r>
        <w:t xml:space="preserve">Avant de décerner un badge, vous pouvez en</w:t>
      </w:r>
      <w:r>
        <w:t xml:space="preserve"> </w:t>
      </w:r>
      <w:r>
        <w:rPr>
          <w:bCs/>
          <w:b/>
        </w:rPr>
        <w:t xml:space="preserve">consulter le détail</w:t>
      </w:r>
      <w:r>
        <w:t xml:space="preserve"> </w:t>
      </w:r>
      <w:r>
        <w:t xml:space="preserve">en cliquant directement dans la card du badge. Cela vous amène sur une page détaillant le badge.</w:t>
      </w:r>
    </w:p>
    <w:p>
      <w:pPr>
        <w:pStyle w:val="BodyText"/>
      </w:pPr>
      <w:r>
        <w:drawing>
          <wp:inline>
            <wp:extent cx="5334000" cy="177144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3_detailbadg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77144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Cette page se compose :</w:t>
      </w:r>
      <w:r>
        <w:t xml:space="preserve"> </w:t>
      </w:r>
      <w:r>
        <w:t xml:space="preserve">* d’un bloc présentant les</w:t>
      </w:r>
      <w:r>
        <w:t xml:space="preserve"> </w:t>
      </w:r>
      <w:r>
        <w:rPr>
          <w:bCs/>
          <w:b/>
        </w:rPr>
        <w:t xml:space="preserve">caractéristiques du badge</w:t>
      </w:r>
    </w:p>
    <w:p>
      <w:pPr>
        <w:numPr>
          <w:ilvl w:val="0"/>
          <w:numId w:val="1003"/>
        </w:numPr>
      </w:pPr>
      <w:r>
        <w:t xml:space="preserve">d’un bloc</w:t>
      </w:r>
      <w:r>
        <w:t xml:space="preserve"> </w:t>
      </w:r>
      <w:r>
        <w:rPr>
          <w:bCs/>
          <w:b/>
        </w:rPr>
        <w:t xml:space="preserve">description du badge</w:t>
      </w:r>
    </w:p>
    <w:p>
      <w:pPr>
        <w:numPr>
          <w:ilvl w:val="0"/>
          <w:numId w:val="1003"/>
        </w:numPr>
      </w:pPr>
      <w:r>
        <w:t xml:space="preserve">d’un bloc</w:t>
      </w:r>
      <w:r>
        <w:t xml:space="preserve"> </w:t>
      </w:r>
      <w:r>
        <w:rPr>
          <w:bCs/>
          <w:b/>
        </w:rPr>
        <w:t xml:space="preserve">“</w:t>
      </w:r>
      <w:r>
        <w:rPr>
          <w:bCs/>
          <w:b/>
        </w:rPr>
        <w:t xml:space="preserve">personnes vous ayant octroyé le badge</w:t>
      </w:r>
      <w:r>
        <w:rPr>
          <w:bCs/>
          <w:b/>
        </w:rPr>
        <w:t xml:space="preserve">”</w:t>
      </w:r>
      <w:r>
        <w:t xml:space="preserve"> </w:t>
      </w:r>
      <w:r>
        <w:t xml:space="preserve">si vous l’avez déjà reçu</w:t>
      </w:r>
    </w:p>
    <w:p>
      <w:pPr>
        <w:numPr>
          <w:ilvl w:val="0"/>
          <w:numId w:val="1003"/>
        </w:numPr>
      </w:pPr>
      <w:r>
        <w:t xml:space="preserve">d’un bloc</w:t>
      </w:r>
      <w:r>
        <w:t xml:space="preserve"> </w:t>
      </w:r>
      <w:r>
        <w:rPr>
          <w:bCs/>
          <w:b/>
        </w:rPr>
        <w:t xml:space="preserve">“</w:t>
      </w:r>
      <w:r>
        <w:rPr>
          <w:bCs/>
          <w:b/>
        </w:rPr>
        <w:t xml:space="preserve">personnes ayant reçu le badge</w:t>
      </w:r>
      <w:r>
        <w:rPr>
          <w:bCs/>
          <w:b/>
        </w:rPr>
        <w:t xml:space="preserve">”</w:t>
      </w:r>
    </w:p>
    <w:p>
      <w:pPr>
        <w:pStyle w:val="FirstParagraph"/>
      </w:pPr>
      <w:r>
        <w:t xml:space="preserve">Depuis cette page il est possible de</w:t>
      </w:r>
      <w:r>
        <w:t xml:space="preserve"> </w:t>
      </w:r>
      <w:r>
        <w:rPr>
          <w:bCs/>
          <w:b/>
        </w:rPr>
        <w:t xml:space="preserve">décerner un badge à l’aide du bouton d’action en haut à droite</w:t>
      </w:r>
      <w:r>
        <w:t xml:space="preserve">.</w:t>
      </w:r>
    </w:p>
    <w:bookmarkEnd w:id="30"/>
    <w:bookmarkStart w:id="33" w:name="mes-badges-décernés"/>
    <w:p>
      <w:pPr>
        <w:pStyle w:val="Heading2"/>
      </w:pPr>
      <w:r>
        <w:t xml:space="preserve">Mes badges décernés</w:t>
      </w:r>
    </w:p>
    <w:p>
      <w:pPr>
        <w:pStyle w:val="FirstParagraph"/>
      </w:pPr>
      <w:r>
        <w:t xml:space="preserve">Sur cette page vous verrez</w:t>
      </w:r>
      <w:r>
        <w:t xml:space="preserve"> </w:t>
      </w:r>
      <w:r>
        <w:rPr>
          <w:bCs/>
          <w:b/>
        </w:rPr>
        <w:t xml:space="preserve">l’historique</w:t>
      </w:r>
      <w:r>
        <w:t xml:space="preserve"> </w:t>
      </w:r>
      <w:r>
        <w:t xml:space="preserve">de tous les badges que vous avez décernés et à qui.</w:t>
      </w:r>
    </w:p>
    <w:p>
      <w:pPr>
        <w:pStyle w:val="BodyText"/>
      </w:pPr>
      <w:r>
        <w:drawing>
          <wp:inline>
            <wp:extent cx="5334000" cy="215715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4_tableaudecern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5715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C’est ici qu’il sera</w:t>
      </w:r>
      <w:r>
        <w:t xml:space="preserve"> </w:t>
      </w:r>
      <w:r>
        <w:rPr>
          <w:bCs/>
          <w:b/>
        </w:rPr>
        <w:t xml:space="preserve">possible de révoquer un badge</w:t>
      </w:r>
      <w:r>
        <w:t xml:space="preserve">. Cela signifie que vous ne validez plus la compétence à l’utilisateur à qui vous l’aviez donné précédemment.</w:t>
      </w:r>
    </w:p>
    <w:p>
      <w:pPr>
        <w:pStyle w:val="BodyText"/>
      </w:pPr>
      <w:r>
        <w:drawing>
          <wp:inline>
            <wp:extent cx="5334000" cy="130448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4_revocation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30448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3"/>
    <w:bookmarkStart w:id="35" w:name="statistiques"/>
    <w:p>
      <w:pPr>
        <w:pStyle w:val="Heading2"/>
      </w:pPr>
      <w:r>
        <w:t xml:space="preserve">Statistiques</w:t>
      </w:r>
    </w:p>
    <w:p>
      <w:pPr>
        <w:pStyle w:val="FirstParagraph"/>
      </w:pPr>
      <w:r>
        <w:t xml:space="preserve">Si vous avez le droit, vous accéderez à un onglet Statistiques permettant d’obtenir des informations d’usages du module sur :</w:t>
      </w:r>
      <w:r>
        <w:t xml:space="preserve"> </w:t>
      </w:r>
      <w:r>
        <w:t xml:space="preserve">* Les utilisateurs les plus récompensés</w:t>
      </w:r>
    </w:p>
    <w:p>
      <w:pPr>
        <w:numPr>
          <w:ilvl w:val="0"/>
          <w:numId w:val="1004"/>
        </w:numPr>
      </w:pPr>
      <w:r>
        <w:t xml:space="preserve">Les utilisateurs les plus généreux</w:t>
      </w:r>
    </w:p>
    <w:p>
      <w:pPr>
        <w:numPr>
          <w:ilvl w:val="0"/>
          <w:numId w:val="1004"/>
        </w:numPr>
      </w:pPr>
      <w:r>
        <w:t xml:space="preserve">Les badges les plus décernés</w:t>
      </w:r>
    </w:p>
    <w:p>
      <w:pPr>
        <w:numPr>
          <w:ilvl w:val="0"/>
          <w:numId w:val="1004"/>
        </w:numPr>
      </w:pPr>
      <w:r>
        <w:t xml:space="preserve">Les badges les moins décernés</w:t>
      </w:r>
    </w:p>
    <w:p>
      <w:pPr>
        <w:pStyle w:val="FirstParagraph"/>
      </w:pPr>
      <w:r>
        <w:drawing>
          <wp:inline>
            <wp:extent cx="5334000" cy="207965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.gitbook/assets/minibadges_05_statistiqu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07965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35"/>
    <w:bookmarkEnd w:id="36"/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A990"/>
    <w:multiLevelType w:val="multilevel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991">
    <w:nsid w:val="A991"/>
    <w:multiLevelType w:val="multilevel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num w:numId="1000">
    <w:abstractNumId w:val="990"/>
  </w:num>
  <w:num w:numId="1001">
    <w:abstractNumId w:val="991"/>
  </w:num>
  <w:num w:numId="1002">
    <w:abstractNumId w:val="991"/>
  </w:num>
  <w:num w:numId="1003">
    <w:abstractNumId w:val="991"/>
  </w:num>
  <w:num w:numId="1004">
    <w:abstractNumId w:val="991"/>
  </w:num>
</w:numbering>
</file>

<file path=word/settings.xml><?xml version="1.0" encoding="utf-8"?>
<w:settings xmlns:m="http://schemas.openxmlformats.org/officeDocument/2006/math" xmlns:o="urn:schemas-microsoft-com:office:offic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>
  <w:stylePaneFormatFilter w:val="0004"/>
  <w:footnotePr>
    <w:footnote w:id="-1"/>
    <w:footnote w:id="0"/>
  </w:footnotePr>
  <w:rsids>
  </w:rsids>
  <w:clrSchemeMapping w:accent1="accent1" w:accent2="accent2" w:accent3="accent3" w:accent4="accent4" w:accent5="accent5" w:accent6="accent6" w:bg1="light1" w:bg2="light2" w:followedHyperlink="followedHyperlink" w:hyperlink="hyperlink" w:t1="dark1" w:t2="dark2"/>
  <w:zoom w:percent="100"/>
  <w:embedSystemFonts/>
  <w:proofState w:grammar="clean"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m:mathPr>
    <m:mathFont m:val="Cambria Math"/>
    <m:brkBin m:val="before"/>
    <m:brkBinSub m:val="--"/>
    <m:smallFrac m:val="0"/>
    <m:dispDef/>
    <m:lMargin m:val="0"/>
    <m:rMargin m:val="0"/>
    <m:wrapRight/>
    <m:intLim m:val="subSup"/>
    <m:naryLim m:val="undOvr"/>
  </m:mathPr>
  <w:themeFontLang w:val="en-US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Bidi" w:eastAsiaTheme="minorHAnsi" w:hAnsiTheme="minorHAnsi"/>
        <w:sz w:val="24"/>
        <w:szCs w:val="24"/>
        <w:lang w:bidi="ar-SA" w:eastAsia="en-US" w:val="en-US"/>
      </w:rPr>
    </w:rPrDefault>
    <w:pPrDefault>
      <w:pPr>
        <w:spacing w:after="200"/>
      </w:pPr>
    </w:pPrDefault>
  </w:docDefaults>
  <w:latentStyles w:count="276" w:defLockedState="0" w:defQFormat="0" w:defSemiHidden="0" w:defUIPriority="0" w:defUnhideWhenUsed="0"/>
  <w:style w:default="1" w:styleId="Normal" w:type="paragraph">
    <w:name w:val="Normal"/>
    <w:qFormat/>
  </w:style>
  <w:style w:styleId="BodyText" w:type="paragraph">
    <w:name w:val="Body Text"/>
    <w:basedOn w:val="Normal"/>
    <w:link w:val="BodyTextChar"/>
    <w:pPr>
      <w:spacing w:after="180" w:before="180"/>
    </w:pPr>
    <w:qFormat/>
  </w:style>
  <w:style w:customStyle="1" w:styleId="FirstParagraph" w:type="paragraph">
    <w:name w:val="First Paragraph"/>
    <w:basedOn w:val="BodyText"/>
    <w:next w:val="BodyText"/>
    <w:qFormat/>
  </w:style>
  <w:style w:customStyle="1" w:styleId="Compact" w:type="paragraph">
    <w:name w:val="Compact"/>
    <w:basedOn w:val="BodyText"/>
    <w:qFormat/>
    <w:pPr>
      <w:spacing w:after="36" w:before="36"/>
    </w:pPr>
  </w:style>
  <w:style w:styleId="Title" w:type="paragraph">
    <w:name w:val="Title"/>
    <w:basedOn w:val="Normal"/>
    <w:next w:val="BodyText"/>
    <w:qFormat/>
    <w:pPr>
      <w:keepNext/>
      <w:keepLines/>
      <w:spacing w:after="240" w:before="480"/>
      <w:jc w:val="center"/>
    </w:pPr>
    <w:rPr>
      <w:rFonts w:asciiTheme="majorHAnsi" w:cstheme="majorBidi" w:eastAsiaTheme="majorEastAsia" w:hAnsiTheme="majorHAnsi"/>
      <w:b/>
      <w:bCs/>
      <w:color w:themeColor="accent1" w:themeShade="B5" w:val="345A8A"/>
      <w:sz w:val="36"/>
      <w:szCs w:val="36"/>
    </w:rPr>
  </w:style>
  <w:style w:styleId="Subtitle" w:type="paragraph">
    <w:name w:val="Subtitle"/>
    <w:basedOn w:val="Title"/>
    <w:next w:val="BodyText"/>
    <w:qFormat/>
    <w:pPr>
      <w:keepNext/>
      <w:keepLines/>
      <w:spacing w:after="240" w:before="240"/>
      <w:jc w:val="center"/>
    </w:pPr>
    <w:rPr>
      <w:sz w:val="30"/>
      <w:szCs w:val="30"/>
    </w:rPr>
  </w:style>
  <w:style w:customStyle="1" w:styleId="Author" w:type="paragraph">
    <w:name w:val="Author"/>
    <w:next w:val="BodyText"/>
    <w:qFormat/>
    <w:pPr>
      <w:keepNext/>
      <w:keepLines/>
      <w:jc w:val="center"/>
    </w:pPr>
  </w:style>
  <w:style w:styleId="Date" w:type="paragraph">
    <w:name w:val="Date"/>
    <w:next w:val="BodyText"/>
    <w:qFormat/>
    <w:pPr>
      <w:keepNext/>
      <w:keepLines/>
      <w:jc w:val="center"/>
    </w:pPr>
  </w:style>
  <w:style w:customStyle="1" w:styleId="Abstract" w:type="paragraph">
    <w:name w:val="Abstract"/>
    <w:basedOn w:val="Normal"/>
    <w:next w:val="BodyText"/>
    <w:qFormat/>
    <w:pPr>
      <w:keepNext/>
      <w:keepLines/>
      <w:spacing w:after="300" w:before="300"/>
    </w:pPr>
    <w:rPr>
      <w:sz w:val="20"/>
      <w:szCs w:val="20"/>
    </w:rPr>
  </w:style>
  <w:style w:styleId="Bibliography" w:type="paragraph">
    <w:name w:val="Bibliography"/>
    <w:basedOn w:val="Normal"/>
    <w:next w:val="Bibliography"/>
    <w:qFormat/>
    <w:pPr/>
    <w:rPr/>
  </w:style>
  <w:style w:styleId="Heading1" w:type="paragraph">
    <w:name w:val="Heading 1"/>
    <w:basedOn w:val="Normal"/>
    <w:next w:val="BodyText"/>
    <w:uiPriority w:val="9"/>
    <w:qFormat/>
    <w:pPr>
      <w:keepNext/>
      <w:keepLines/>
      <w:spacing w:after="0" w:before="480"/>
      <w:outlineLvl w:val="0"/>
    </w:pPr>
    <w:rPr>
      <w:rFonts w:asciiTheme="majorHAnsi" w:cstheme="majorBidi" w:eastAsiaTheme="majorEastAsia" w:hAnsiTheme="majorHAnsi"/>
      <w:b/>
      <w:bCs/>
      <w:color w:themeColor="accent1" w:val="4F81BD"/>
      <w:sz w:val="32"/>
      <w:szCs w:val="32"/>
    </w:rPr>
  </w:style>
  <w:style w:styleId="Heading2" w:type="paragraph">
    <w:name w:val="Heading 2"/>
    <w:basedOn w:val="Normal"/>
    <w:next w:val="BodyText"/>
    <w:uiPriority w:val="9"/>
    <w:unhideWhenUsed/>
    <w:qFormat/>
    <w:pPr>
      <w:keepNext/>
      <w:keepLines/>
      <w:spacing w:after="0" w:before="200"/>
      <w:outlineLvl w:val="1"/>
    </w:pPr>
    <w:rPr>
      <w:rFonts w:asciiTheme="majorHAnsi" w:cstheme="majorBidi" w:eastAsiaTheme="majorEastAsia" w:hAnsiTheme="majorHAnsi"/>
      <w:b/>
      <w:bCs/>
      <w:color w:themeColor="accent1" w:val="4F81BD"/>
      <w:sz w:val="28"/>
      <w:szCs w:val="28"/>
    </w:rPr>
  </w:style>
  <w:style w:styleId="Heading3" w:type="paragraph">
    <w:name w:val="Heading 3"/>
    <w:basedOn w:val="Normal"/>
    <w:next w:val="BodyText"/>
    <w:uiPriority w:val="9"/>
    <w:unhideWhenUsed/>
    <w:qFormat/>
    <w:pPr>
      <w:keepNext/>
      <w:keepLines/>
      <w:spacing w:after="0" w:before="200"/>
      <w:outlineLvl w:val="2"/>
    </w:pPr>
    <w:rPr>
      <w:rFonts w:asciiTheme="majorHAnsi" w:cstheme="majorBidi" w:eastAsiaTheme="majorEastAsia" w:hAnsiTheme="majorHAnsi"/>
      <w:b/>
      <w:bCs/>
      <w:color w:themeColor="accent1" w:val="4F81BD"/>
      <w:sz w:val="24"/>
      <w:szCs w:val="24"/>
    </w:rPr>
  </w:style>
  <w:style w:styleId="Heading4" w:type="paragraph">
    <w:name w:val="Heading 4"/>
    <w:basedOn w:val="Normal"/>
    <w:next w:val="BodyText"/>
    <w:uiPriority w:val="9"/>
    <w:unhideWhenUsed/>
    <w:qFormat/>
    <w:pPr>
      <w:keepNext/>
      <w:keepLines/>
      <w:spacing w:after="0" w:before="200"/>
      <w:outlineLvl w:val="3"/>
    </w:pPr>
    <w:rPr>
      <w:rFonts w:asciiTheme="majorHAnsi" w:cstheme="majorBidi" w:eastAsiaTheme="majorEastAsia" w:hAnsiTheme="majorHAnsi"/>
      <w:i/>
      <w:bCs/>
      <w:color w:themeColor="accent1" w:val="4F81BD"/>
      <w:sz w:val="24"/>
      <w:szCs w:val="24"/>
    </w:rPr>
  </w:style>
  <w:style w:styleId="Heading5" w:type="paragraph">
    <w:name w:val="Heading 5"/>
    <w:basedOn w:val="Normal"/>
    <w:next w:val="BodyText"/>
    <w:uiPriority w:val="9"/>
    <w:unhideWhenUsed/>
    <w:qFormat/>
    <w:pPr>
      <w:keepNext/>
      <w:keepLines/>
      <w:spacing w:after="0" w:before="200"/>
      <w:outlineLvl w:val="4"/>
    </w:pPr>
    <w:rPr>
      <w:rFonts w:asciiTheme="majorHAnsi" w:cstheme="majorBidi" w:eastAsiaTheme="majorEastAsia" w:hAnsiTheme="majorHAnsi"/>
      <w:iCs/>
      <w:color w:themeColor="accent1" w:val="4F81BD"/>
      <w:sz w:val="24"/>
      <w:szCs w:val="24"/>
    </w:rPr>
  </w:style>
  <w:style w:styleId="Heading6" w:type="paragraph">
    <w:name w:val="Heading 6"/>
    <w:basedOn w:val="Normal"/>
    <w:next w:val="BodyText"/>
    <w:uiPriority w:val="9"/>
    <w:unhideWhenUsed/>
    <w:qFormat/>
    <w:pPr>
      <w:keepNext/>
      <w:keepLines/>
      <w:spacing w:after="0" w:before="200"/>
      <w:outlineLvl w:val="5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7" w:type="paragraph">
    <w:name w:val="Heading 7"/>
    <w:basedOn w:val="Normal"/>
    <w:next w:val="BodyText"/>
    <w:uiPriority w:val="9"/>
    <w:unhideWhenUsed/>
    <w:qFormat/>
    <w:pPr>
      <w:keepNext/>
      <w:keepLines/>
      <w:spacing w:after="0" w:before="200"/>
      <w:outlineLvl w:val="6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8" w:type="paragraph">
    <w:name w:val="Heading 8"/>
    <w:basedOn w:val="Normal"/>
    <w:next w:val="BodyText"/>
    <w:uiPriority w:val="9"/>
    <w:unhideWhenUsed/>
    <w:qFormat/>
    <w:pPr>
      <w:keepNext/>
      <w:keepLines/>
      <w:spacing w:after="0" w:before="200"/>
      <w:outlineLvl w:val="7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9" w:type="paragraph">
    <w:name w:val="Heading 9"/>
    <w:basedOn w:val="Normal"/>
    <w:next w:val="BodyText"/>
    <w:uiPriority w:val="9"/>
    <w:unhideWhenUsed/>
    <w:qFormat/>
    <w:pPr>
      <w:keepNext/>
      <w:keepLines/>
      <w:spacing w:after="0" w:before="200"/>
      <w:outlineLvl w:val="8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BlockText" w:type="paragraph">
    <w:name w:val="Block Text"/>
    <w:basedOn w:val="BodyText"/>
    <w:next w:val="BodyText"/>
    <w:uiPriority w:val="9"/>
    <w:unhideWhenUsed/>
    <w:qFormat/>
    <w:pPr>
      <w:spacing w:after="100" w:before="100"/>
      <w:ind w:firstLine="0" w:left="480" w:right="480"/>
    </w:pPr>
  </w:style>
  <w:style w:styleId="FootnoteText" w:type="paragraph">
    <w:name w:val="Footnote Text"/>
    <w:basedOn w:val="Normal"/>
    <w:next w:val="FootnoteText"/>
    <w:uiPriority w:val="9"/>
    <w:unhideWhenUsed/>
    <w:qFormat/>
  </w:style>
  <w:style w:default="1" w:styleId="DefaultParagraphFont" w:type="character">
    <w:name w:val="Default Paragraph Font"/>
    <w:semiHidden/>
    <w:unhideWhenUsed/>
  </w:style>
  <w:style w:default="1" w:styleId="Table" w:type="table">
    <w:name w:val="Table"/>
    <w:basedOn w:val="TableNormal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  <w:tblStylePr w:type="firstRow">
      <w:tblPr>
        <w:jc w:val="left"/>
        <w:tblInd w:type="dxa" w:w="0"/>
      </w:tblPr>
      <w:trPr>
        <w:jc w:val="left"/>
      </w:trPr>
      <w:tcPr>
        <w:vAlign w:val="bottom"/>
        <w:tcBorders>
          <w:bottom w:val="single"/>
        </w:tcBorders>
      </w:tcPr>
    </w:tblStylePr>
  </w:style>
  <w:style w:customStyle="1" w:styleId="DefinitionTerm" w:type="paragraph">
    <w:name w:val="Definition Term"/>
    <w:basedOn w:val="Normal"/>
    <w:next w:val="Definition"/>
    <w:pPr>
      <w:keepNext/>
      <w:keepLines/>
      <w:spacing w:after="0"/>
    </w:pPr>
    <w:rPr>
      <w:b/>
    </w:rPr>
  </w:style>
  <w:style w:customStyle="1" w:styleId="Definition" w:type="paragraph">
    <w:name w:val="Definition"/>
    <w:basedOn w:val="Normal"/>
  </w:style>
  <w:style w:styleId="Caption" w:type="paragraph">
    <w:name w:val="Caption"/>
    <w:basedOn w:val="Normal"/>
    <w:link w:val="BodyTextChar"/>
    <w:pPr>
      <w:spacing w:after="120" w:before="0"/>
    </w:pPr>
    <w:rPr>
      <w:i/>
    </w:rPr>
  </w:style>
  <w:style w:customStyle="1" w:styleId="TableCaption" w:type="paragraph">
    <w:name w:val="Table Caption"/>
    <w:basedOn w:val="Caption"/>
    <w:pPr>
      <w:keepNext/>
    </w:pPr>
  </w:style>
  <w:style w:customStyle="1" w:styleId="ImageCaption" w:type="paragraph">
    <w:name w:val="Image Caption"/>
    <w:basedOn w:val="Caption"/>
  </w:style>
  <w:style w:customStyle="1" w:styleId="Figure" w:type="paragraph">
    <w:name w:val="Figure"/>
    <w:basedOn w:val="Normal"/>
  </w:style>
  <w:style w:customStyle="1" w:styleId="CaptionedFigure" w:type="paragraph">
    <w:name w:val="Captioned Figure"/>
    <w:basedOn w:val="Figure"/>
    <w:pPr>
      <w:keepNext/>
    </w:pPr>
  </w:style>
  <w:style w:customStyle="1" w:styleId="BodyTextChar" w:type="character">
    <w:name w:val="Body Text Char"/>
    <w:basedOn w:val="DefaultParagraphFont"/>
    <w:link w:val="BodyText"/>
  </w:style>
  <w:style w:customStyle="1" w:styleId="VerbatimChar" w:type="character">
    <w:name w:val="Verbatim Char"/>
    <w:basedOn w:val="BodyTextChar"/>
    <w:rPr>
      <w:rFonts w:ascii="Consolas" w:hAnsi="Consolas"/>
      <w:sz w:val="22"/>
    </w:rPr>
  </w:style>
  <w:style w:customStyle="1" w:styleId="SectionNumber" w:type="character">
    <w:name w:val="Section Number"/>
    <w:basedOn w:val="BodyTextChar"/>
  </w:style>
  <w:style w:styleId="FootnoteReference" w:type="character">
    <w:name w:val="Footnote Reference"/>
    <w:basedOn w:val="BodyTextChar"/>
    <w:rPr>
      <w:vertAlign w:val="superscript"/>
    </w:rPr>
  </w:style>
  <w:style w:styleId="Hyperlink" w:type="character">
    <w:name w:val="Hyperlink"/>
    <w:basedOn w:val="BodyTextChar"/>
    <w:rPr>
      <w:color w:themeColor="accent1" w:val="4F81BD"/>
    </w:rPr>
  </w:style>
  <w:style w:styleId="TOCHeading" w:type="paragraph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cstheme="majorBidi" w:eastAsiaTheme="majorEastAsia" w:hAnsiTheme="majorHAnsi"/>
      <w:b w:val="0"/>
      <w:bCs w:val="0"/>
      <w:color w:themeColor="accent1" w:themeShade="BF" w:val="365F91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0" Target="media/rId20.png" /><Relationship Type="http://schemas.openxmlformats.org/officeDocument/2006/relationships/image" Id="rId25" Target="media/rId25.png" /><Relationship Type="http://schemas.openxmlformats.org/officeDocument/2006/relationships/image" Id="rId23" Target="media/rId23.png" /><Relationship Type="http://schemas.openxmlformats.org/officeDocument/2006/relationships/image" Id="rId22" Target="media/rId22.png" /><Relationship Type="http://schemas.openxmlformats.org/officeDocument/2006/relationships/image" Id="rId24" Target="media/rId24.png" /><Relationship Type="http://schemas.openxmlformats.org/officeDocument/2006/relationships/image" Id="rId27" Target="media/rId27.png" /><Relationship Type="http://schemas.openxmlformats.org/officeDocument/2006/relationships/image" Id="rId28" Target="media/rId28.png" /><Relationship Type="http://schemas.openxmlformats.org/officeDocument/2006/relationships/image" Id="rId29" Target="media/rId29.png" /><Relationship Type="http://schemas.openxmlformats.org/officeDocument/2006/relationships/image" Id="rId32" Target="media/rId32.png" /><Relationship Type="http://schemas.openxmlformats.org/officeDocument/2006/relationships/image" Id="rId31" Target="media/rId31.png" /><Relationship Type="http://schemas.openxmlformats.org/officeDocument/2006/relationships/image" Id="rId34" Target="media/rId34.png" /></Relationships>
</file>

<file path=word/_rels/footnotes.xml.rels>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2023-02-01T16:01:14Z</dcterms:created>
  <dcterms:modified xsi:type="dcterms:W3CDTF">2023-02-01T16:01:14Z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