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comments.xml" ContentType="application/vnd.openxmlformats-officedocument.wordprocessingml.comments+xml"/>
  <Override PartName="/word/footnotes.xml" ContentType="application/vnd.openxmlformats-officedocument.wordprocessingml.footnotes+xml"/>
  <Override PartName="/word/media/rId21.png" ContentType="image/png"/>
  <Override PartName="/word/media/rId23.png" ContentType="image/png"/>
  <Override PartName="/word/media/rId25.png" ContentType="image/png"/>
  <Override PartName="/word/media/rId26.png" ContentType="image/png"/>
  <Override PartName="/word/media/rId28.png" ContentType="image/png"/>
  <Override PartName="/word/media/rId30.png" ContentType="image/png"/>
  <Override PartName="/word/media/rId31.png" ContentType="image/png"/>
  <Override PartName="/word/media/rId32.png" ContentType="image/png"/>
  <Override PartName="/word/media/rId34.png" ContentType="image/png"/>
  <Override PartName="/word/media/rId35.png" ContentType="image/png"/>
  <Override PartName="/word/media/rId36.png" ContentType="image/png"/>
  <Override PartName="/word/media/rId33.png" ContentType="image/png"/>
  <Override PartName="/word/media/rId37.png" ContentType="image/png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5" Type="http://schemas.openxmlformats.org/officeDocument/2006/relationships/custom-properties" Target="docProps/custom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bookmarkStart w:id="39" w:name="mediacentre"/>
    <w:p>
      <w:pPr>
        <w:pStyle w:val="Heading1"/>
      </w:pPr>
      <w:r>
        <w:t xml:space="preserve">Mediacentre</w:t>
      </w:r>
    </w:p>
    <w:p>
      <w:pPr>
        <w:pStyle w:val="FirstParagraph"/>
      </w:pPr>
      <w:r>
        <w:t xml:space="preserve">A l’aide de l’application</w:t>
      </w:r>
      <w:r>
        <w:t xml:space="preserve"> </w:t>
      </w:r>
      <w:r>
        <w:rPr>
          <w:bCs/>
          <w:b/>
        </w:rPr>
        <w:t xml:space="preserve">Médiacentre</w:t>
      </w:r>
      <w:r>
        <w:t xml:space="preserve">, cherchez et retrouvez facilement des ressources pédagogiques.</w:t>
      </w:r>
    </w:p>
    <w:bookmarkStart w:id="20" w:name="table-des-matières"/>
    <w:p>
      <w:pPr>
        <w:pStyle w:val="Heading4"/>
      </w:pPr>
      <w:r>
        <w:t xml:space="preserve">Table des matières</w:t>
      </w:r>
    </w:p>
    <w:p>
      <w:pPr>
        <w:numPr>
          <w:ilvl w:val="0"/>
          <w:numId w:val="1001"/>
        </w:numPr>
        <w:pStyle w:val="Compact"/>
      </w:pPr>
      <w:hyperlink w:anchor="présentation">
        <w:r>
          <w:rPr>
            <w:rStyle w:val="Hyperlink"/>
          </w:rPr>
          <w:t xml:space="preserve">Présentation</w:t>
        </w:r>
      </w:hyperlink>
    </w:p>
    <w:p>
      <w:pPr>
        <w:numPr>
          <w:ilvl w:val="0"/>
          <w:numId w:val="1001"/>
        </w:numPr>
        <w:pStyle w:val="Compact"/>
      </w:pPr>
      <w:hyperlink w:anchor="recherche">
        <w:r>
          <w:rPr>
            <w:rStyle w:val="Hyperlink"/>
          </w:rPr>
          <w:t xml:space="preserve">Recherche</w:t>
        </w:r>
      </w:hyperlink>
    </w:p>
    <w:p>
      <w:pPr>
        <w:numPr>
          <w:ilvl w:val="0"/>
          <w:numId w:val="1001"/>
        </w:numPr>
        <w:pStyle w:val="Compact"/>
      </w:pPr>
      <w:hyperlink w:anchor="recherche-avancée">
        <w:r>
          <w:rPr>
            <w:rStyle w:val="Hyperlink"/>
          </w:rPr>
          <w:t xml:space="preserve">Recherche avancée</w:t>
        </w:r>
      </w:hyperlink>
    </w:p>
    <w:p>
      <w:pPr>
        <w:numPr>
          <w:ilvl w:val="0"/>
          <w:numId w:val="1001"/>
        </w:numPr>
        <w:pStyle w:val="Compact"/>
      </w:pPr>
      <w:hyperlink w:anchor="tableau-de-bord">
        <w:r>
          <w:rPr>
            <w:rStyle w:val="Hyperlink"/>
          </w:rPr>
          <w:t xml:space="preserve">Tableau de bord</w:t>
        </w:r>
      </w:hyperlink>
    </w:p>
    <w:p>
      <w:pPr>
        <w:numPr>
          <w:ilvl w:val="0"/>
          <w:numId w:val="1001"/>
        </w:numPr>
        <w:pStyle w:val="Compact"/>
      </w:pPr>
      <w:hyperlink w:anchor="signets">
        <w:r>
          <w:rPr>
            <w:rStyle w:val="Hyperlink"/>
          </w:rPr>
          <w:t xml:space="preserve">Signets</w:t>
        </w:r>
      </w:hyperlink>
    </w:p>
    <w:bookmarkEnd w:id="20"/>
    <w:bookmarkStart w:id="22" w:name="présentation"/>
    <w:p>
      <w:pPr>
        <w:pStyle w:val="Heading2"/>
      </w:pPr>
      <w:r>
        <w:t xml:space="preserve">Présentation</w:t>
      </w:r>
    </w:p>
    <w:p>
      <w:pPr>
        <w:pStyle w:val="FirstParagraph"/>
      </w:pPr>
      <w:r>
        <w:t xml:space="preserve">Médiacentre possède un moteur de recherche permettant de chercher des ressources pédagogiques dans trois espaces différents :</w:t>
      </w:r>
      <w:r>
        <w:t xml:space="preserve"> </w:t>
      </w:r>
      <w:r>
        <w:rPr>
          <w:bCs/>
          <w:b/>
        </w:rPr>
        <w:t xml:space="preserve">le GAR, Moodle et PMB</w:t>
      </w:r>
      <w:r>
        <w:t xml:space="preserve">. Accédez aussi facilement à vos ressources pédagogiques grâce au</w:t>
      </w:r>
      <w:r>
        <w:t xml:space="preserve"> </w:t>
      </w:r>
      <w:r>
        <w:rPr>
          <w:bCs/>
          <w:b/>
        </w:rPr>
        <w:t xml:space="preserve">tableau de bord</w:t>
      </w:r>
      <w:r>
        <w:t xml:space="preserve">.</w:t>
      </w:r>
    </w:p>
    <w:p>
      <w:pPr>
        <w:pStyle w:val="BodyText"/>
      </w:pPr>
      <w:r>
        <w:drawing>
          <wp:inline>
            <wp:extent cx="5334000" cy="3642731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1_accueil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642731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2"/>
    <w:bookmarkStart w:id="24" w:name="recherche"/>
    <w:p>
      <w:pPr>
        <w:pStyle w:val="Heading2"/>
      </w:pPr>
      <w:r>
        <w:t xml:space="preserve">Recherche</w:t>
      </w:r>
    </w:p>
    <w:p>
      <w:pPr>
        <w:pStyle w:val="FirstParagraph"/>
      </w:pPr>
      <w:r>
        <w:t xml:space="preserve">Médiacentre contient un moteur de recherche qui se présente en ligne avec la possibilité de</w:t>
      </w:r>
      <w:r>
        <w:t xml:space="preserve"> </w:t>
      </w:r>
      <w:r>
        <w:rPr>
          <w:bCs/>
          <w:b/>
        </w:rPr>
        <w:t xml:space="preserve">chercher en plein texte</w:t>
      </w:r>
      <w:r>
        <w:t xml:space="preserve"> </w:t>
      </w:r>
      <w:r>
        <w:t xml:space="preserve">en tapant le mot de votre choix (discipline, niveau, mot clé, éditeur…).</w:t>
      </w:r>
    </w:p>
    <w:p>
      <w:pPr>
        <w:numPr>
          <w:ilvl w:val="0"/>
          <w:numId w:val="1002"/>
        </w:numPr>
        <w:pStyle w:val="Compact"/>
      </w:pPr>
      <w:r>
        <w:t xml:space="preserve">Dans le GAR, le médiacentre n’effectue la recherche que sur les</w:t>
      </w:r>
      <w:r>
        <w:t xml:space="preserve"> </w:t>
      </w:r>
      <w:r>
        <w:rPr>
          <w:bCs/>
          <w:b/>
        </w:rPr>
        <w:t xml:space="preserve">ressources qui vous ont été affectées</w:t>
      </w:r>
      <w:r>
        <w:t xml:space="preserve">;</w:t>
      </w:r>
    </w:p>
    <w:p>
      <w:pPr>
        <w:numPr>
          <w:ilvl w:val="0"/>
          <w:numId w:val="1002"/>
        </w:numPr>
        <w:pStyle w:val="Compact"/>
      </w:pPr>
      <w:r>
        <w:t xml:space="preserve">Pour Moodle, il s’agit uniquement des</w:t>
      </w:r>
      <w:r>
        <w:t xml:space="preserve"> </w:t>
      </w:r>
      <w:r>
        <w:rPr>
          <w:bCs/>
          <w:b/>
        </w:rPr>
        <w:t xml:space="preserve">parcours publiés publiquement</w:t>
      </w:r>
      <w:r>
        <w:t xml:space="preserve"> </w:t>
      </w:r>
      <w:r>
        <w:t xml:space="preserve">par des enseignants;</w:t>
      </w:r>
    </w:p>
    <w:p>
      <w:pPr>
        <w:numPr>
          <w:ilvl w:val="0"/>
          <w:numId w:val="1002"/>
        </w:numPr>
        <w:pStyle w:val="Compact"/>
      </w:pPr>
      <w:r>
        <w:t xml:space="preserve">Pour PMB, le médiacentre permet de chercher dans la</w:t>
      </w:r>
      <w:r>
        <w:t xml:space="preserve"> </w:t>
      </w:r>
      <w:r>
        <w:rPr>
          <w:bCs/>
          <w:b/>
        </w:rPr>
        <w:t xml:space="preserve">base complète de votre CDI</w:t>
      </w:r>
      <w:r>
        <w:t xml:space="preserve">.</w:t>
      </w:r>
    </w:p>
    <w:p>
      <w:pPr>
        <w:pStyle w:val="FirstParagraph"/>
      </w:pPr>
      <w:r>
        <w:t xml:space="preserve">Seuls les enseignants et élèves peuvent voir des ressources GAR dans le Médiacentre.</w:t>
      </w:r>
    </w:p>
    <w:p>
      <w:pPr>
        <w:pStyle w:val="BodyText"/>
      </w:pPr>
      <w:r>
        <w:t xml:space="preserve">Une fois la recherche effectuée, il vous est possible de</w:t>
      </w:r>
      <w:r>
        <w:t xml:space="preserve"> </w:t>
      </w:r>
      <w:r>
        <w:rPr>
          <w:bCs/>
          <w:b/>
        </w:rPr>
        <w:t xml:space="preserve">trier les résultats</w:t>
      </w:r>
      <w:r>
        <w:t xml:space="preserve"> </w:t>
      </w:r>
      <w:r>
        <w:t xml:space="preserve">en fonction des champs disponibles. Vous pourrez ainsi trier par</w:t>
      </w:r>
      <w:r>
        <w:t xml:space="preserve"> </w:t>
      </w:r>
      <w:r>
        <w:rPr>
          <w:bCs/>
          <w:b/>
        </w:rPr>
        <w:t xml:space="preserve">type de ressource, par niveau ou par discipline</w:t>
      </w:r>
      <w:r>
        <w:t xml:space="preserve">. Ces menus déroulants dépendent des résultats de votre recherche. Tous n’apparaîtront pas à chaque fois.</w:t>
      </w:r>
    </w:p>
    <w:p>
      <w:pPr>
        <w:pStyle w:val="BodyText"/>
      </w:pPr>
      <w:r>
        <w:drawing>
          <wp:inline>
            <wp:extent cx="5334000" cy="2807664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2_recherch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807664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4"/>
    <w:bookmarkStart w:id="27" w:name="recherche-avancée"/>
    <w:p>
      <w:pPr>
        <w:pStyle w:val="Heading2"/>
      </w:pPr>
      <w:r>
        <w:t xml:space="preserve">Recherche avancée</w:t>
      </w:r>
    </w:p>
    <w:p>
      <w:pPr>
        <w:pStyle w:val="FirstParagraph"/>
      </w:pPr>
      <w:r>
        <w:t xml:space="preserve">La recherche avancée vous permet de préciser votre demande.</w:t>
      </w:r>
    </w:p>
    <w:p>
      <w:pPr>
        <w:pStyle w:val="BodyText"/>
      </w:pPr>
      <w:r>
        <w:drawing>
          <wp:inline>
            <wp:extent cx="5334000" cy="2165195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3_recherche_avancee_1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16519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Il est possible de chercher, de façon exclusive ou plus ouverte, par :</w:t>
      </w:r>
    </w:p>
    <w:p>
      <w:pPr>
        <w:numPr>
          <w:ilvl w:val="0"/>
          <w:numId w:val="1003"/>
        </w:numPr>
        <w:pStyle w:val="Compact"/>
      </w:pPr>
      <w:r>
        <w:t xml:space="preserve">Titre</w:t>
      </w:r>
    </w:p>
    <w:p>
      <w:pPr>
        <w:numPr>
          <w:ilvl w:val="0"/>
          <w:numId w:val="1003"/>
        </w:numPr>
        <w:pStyle w:val="Compact"/>
      </w:pPr>
      <w:r>
        <w:t xml:space="preserve">Auteur</w:t>
      </w:r>
    </w:p>
    <w:p>
      <w:pPr>
        <w:numPr>
          <w:ilvl w:val="0"/>
          <w:numId w:val="1003"/>
        </w:numPr>
        <w:pStyle w:val="Compact"/>
      </w:pPr>
      <w:r>
        <w:t xml:space="preserve">Editeur</w:t>
      </w:r>
    </w:p>
    <w:p>
      <w:pPr>
        <w:numPr>
          <w:ilvl w:val="0"/>
          <w:numId w:val="1003"/>
        </w:numPr>
        <w:pStyle w:val="Compact"/>
      </w:pPr>
      <w:r>
        <w:t xml:space="preserve">Discipline</w:t>
      </w:r>
    </w:p>
    <w:p>
      <w:pPr>
        <w:numPr>
          <w:ilvl w:val="0"/>
          <w:numId w:val="1003"/>
        </w:numPr>
        <w:pStyle w:val="Compact"/>
      </w:pPr>
      <w:r>
        <w:t xml:space="preserve">Niveau</w:t>
      </w:r>
    </w:p>
    <w:p>
      <w:pPr>
        <w:numPr>
          <w:ilvl w:val="0"/>
          <w:numId w:val="1003"/>
        </w:numPr>
        <w:pStyle w:val="Compact"/>
      </w:pPr>
      <w:r>
        <w:t xml:space="preserve">Source</w:t>
      </w:r>
    </w:p>
    <w:p>
      <w:pPr>
        <w:pStyle w:val="FirstParagraph"/>
      </w:pPr>
      <w:r>
        <w:drawing>
          <wp:inline>
            <wp:extent cx="5334000" cy="3651143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3_recherche_avancee_2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3651143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7"/>
    <w:bookmarkStart w:id="29" w:name="tableau-de-bord"/>
    <w:p>
      <w:pPr>
        <w:pStyle w:val="Heading2"/>
      </w:pPr>
      <w:r>
        <w:t xml:space="preserve">Tableau de bord</w:t>
      </w:r>
    </w:p>
    <w:p>
      <w:pPr>
        <w:pStyle w:val="FirstParagraph"/>
      </w:pPr>
      <w:r>
        <w:t xml:space="preserve">Par ailleurs, afin de faciliter l’accès à vos ressources pédagogiques de travail, vous trouverez directement sur votre tableau de bord :</w:t>
      </w:r>
    </w:p>
    <w:p>
      <w:pPr>
        <w:numPr>
          <w:ilvl w:val="0"/>
          <w:numId w:val="1004"/>
        </w:numPr>
        <w:pStyle w:val="Compact"/>
      </w:pPr>
      <w:r>
        <w:t xml:space="preserve">Vos</w:t>
      </w:r>
      <w:r>
        <w:t xml:space="preserve"> </w:t>
      </w:r>
      <w:r>
        <w:rPr>
          <w:bCs/>
          <w:b/>
        </w:rPr>
        <w:t xml:space="preserve">ressources favorites</w:t>
      </w:r>
      <w:r>
        <w:t xml:space="preserve">;</w:t>
      </w:r>
    </w:p>
    <w:p>
      <w:pPr>
        <w:numPr>
          <w:ilvl w:val="0"/>
          <w:numId w:val="1004"/>
        </w:numPr>
        <w:pStyle w:val="Compact"/>
      </w:pPr>
      <w:r>
        <w:t xml:space="preserve">Des ressources</w:t>
      </w:r>
      <w:r>
        <w:t xml:space="preserve"> </w:t>
      </w:r>
      <w:r>
        <w:rPr>
          <w:bCs/>
          <w:b/>
        </w:rPr>
        <w:t xml:space="preserve">essentielles</w:t>
      </w:r>
      <w:r>
        <w:t xml:space="preserve">;</w:t>
      </w:r>
    </w:p>
    <w:p>
      <w:pPr>
        <w:numPr>
          <w:ilvl w:val="0"/>
          <w:numId w:val="1004"/>
        </w:numPr>
        <w:pStyle w:val="Compact"/>
      </w:pPr>
      <w:r>
        <w:t xml:space="preserve">Les</w:t>
      </w:r>
      <w:r>
        <w:t xml:space="preserve"> </w:t>
      </w:r>
      <w:r>
        <w:rPr>
          <w:bCs/>
          <w:b/>
        </w:rPr>
        <w:t xml:space="preserve">manuels numériques</w:t>
      </w:r>
      <w:r>
        <w:t xml:space="preserve"> </w:t>
      </w:r>
      <w:r>
        <w:t xml:space="preserve">qui vous ont été attribués.</w:t>
      </w:r>
    </w:p>
    <w:p>
      <w:pPr>
        <w:pStyle w:val="FirstParagraph"/>
      </w:pPr>
      <w:r>
        <w:t xml:space="preserve">Il vous est aussi possible</w:t>
      </w:r>
      <w:r>
        <w:t xml:space="preserve"> </w:t>
      </w:r>
      <w:r>
        <w:rPr>
          <w:bCs/>
          <w:b/>
        </w:rPr>
        <w:t xml:space="preserve">d’ajouter une ressource à vos favoris</w:t>
      </w:r>
      <w:r>
        <w:t xml:space="preserve"> </w:t>
      </w:r>
      <w:r>
        <w:t xml:space="preserve">afin de la retrouver plus rapidement depuis votre tableau de bord, en cliquant simplement sur l’étoile. Un second clic sur ce bouton enlève la ressource de vos favoris.</w:t>
      </w:r>
    </w:p>
    <w:p>
      <w:pPr>
        <w:pStyle w:val="BodyText"/>
      </w:pPr>
      <w:r>
        <w:t xml:space="preserve">Vous pouvez également</w:t>
      </w:r>
      <w:r>
        <w:t xml:space="preserve"> </w:t>
      </w:r>
      <w:r>
        <w:rPr>
          <w:bCs/>
          <w:b/>
        </w:rPr>
        <w:t xml:space="preserve">copier directement le lien</w:t>
      </w:r>
      <w:r>
        <w:t xml:space="preserve"> </w:t>
      </w:r>
      <w:r>
        <w:t xml:space="preserve">d’une ressource afin de le partager ailleurs sur l’ENT.</w:t>
      </w:r>
    </w:p>
    <w:p>
      <w:pPr>
        <w:pStyle w:val="BodyText"/>
      </w:pPr>
      <w:r>
        <w:drawing>
          <wp:inline>
            <wp:extent cx="2335946" cy="2143845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4_tableau_de_bord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5946" cy="214384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bookmarkEnd w:id="29"/>
    <w:bookmarkStart w:id="38" w:name="signets"/>
    <w:p>
      <w:pPr>
        <w:pStyle w:val="Heading2"/>
      </w:pPr>
      <w:r>
        <w:t xml:space="preserve">Signets</w:t>
      </w:r>
    </w:p>
    <w:p>
      <w:pPr>
        <w:numPr>
          <w:ilvl w:val="0"/>
          <w:numId w:val="1005"/>
        </w:numPr>
        <w:pStyle w:val="Compact"/>
      </w:pPr>
      <w:hyperlink w:anchor="la-création-de-signets">
        <w:r>
          <w:rPr>
            <w:rStyle w:val="Hyperlink"/>
          </w:rPr>
          <w:t xml:space="preserve">La création de signets</w:t>
        </w:r>
      </w:hyperlink>
    </w:p>
    <w:p>
      <w:pPr>
        <w:numPr>
          <w:ilvl w:val="0"/>
          <w:numId w:val="1005"/>
        </w:numPr>
        <w:pStyle w:val="Compact"/>
      </w:pPr>
      <w:hyperlink w:anchor="le-partage-de-signets">
        <w:r>
          <w:rPr>
            <w:rStyle w:val="Hyperlink"/>
          </w:rPr>
          <w:t xml:space="preserve">Le partage de signets</w:t>
        </w:r>
      </w:hyperlink>
    </w:p>
    <w:p>
      <w:pPr>
        <w:numPr>
          <w:ilvl w:val="0"/>
          <w:numId w:val="1005"/>
        </w:numPr>
        <w:pStyle w:val="Compact"/>
      </w:pPr>
      <w:hyperlink w:anchor="la-publication-de-signets">
        <w:r>
          <w:rPr>
            <w:rStyle w:val="Hyperlink"/>
          </w:rPr>
          <w:t xml:space="preserve">La publication de signets</w:t>
        </w:r>
      </w:hyperlink>
    </w:p>
    <w:p>
      <w:pPr>
        <w:pStyle w:val="FirstParagraph"/>
      </w:pPr>
      <w:r>
        <w:t xml:space="preserve">La fonctionnalité Signets permet à</w:t>
      </w:r>
      <w:r>
        <w:t xml:space="preserve"> </w:t>
      </w:r>
      <w:r>
        <w:rPr>
          <w:bCs/>
          <w:b/>
        </w:rPr>
        <w:t xml:space="preserve">ceux qui disposent du droit de création</w:t>
      </w:r>
      <w:r>
        <w:t xml:space="preserve"> </w:t>
      </w:r>
      <w:r>
        <w:t xml:space="preserve">de créer des signets autrement dit des</w:t>
      </w:r>
      <w:r>
        <w:t xml:space="preserve"> </w:t>
      </w:r>
      <w:r>
        <w:rPr>
          <w:bCs/>
          <w:b/>
        </w:rPr>
        <w:t xml:space="preserve">url associées à des mots clefs</w:t>
      </w:r>
      <w:r>
        <w:t xml:space="preserve"> </w:t>
      </w:r>
      <w:r>
        <w:t xml:space="preserve">pour les</w:t>
      </w:r>
      <w:r>
        <w:t xml:space="preserve"> </w:t>
      </w:r>
      <w:r>
        <w:rPr>
          <w:bCs/>
          <w:b/>
        </w:rPr>
        <w:t xml:space="preserve">partager</w:t>
      </w:r>
      <w:r>
        <w:t xml:space="preserve"> </w:t>
      </w:r>
      <w:r>
        <w:t xml:space="preserve">à un groupe restreint d’utilisateurs ou les</w:t>
      </w:r>
      <w:r>
        <w:t xml:space="preserve"> </w:t>
      </w:r>
      <w:r>
        <w:rPr>
          <w:bCs/>
          <w:b/>
        </w:rPr>
        <w:t xml:space="preserve">publier</w:t>
      </w:r>
      <w:r>
        <w:t xml:space="preserve"> </w:t>
      </w:r>
      <w:r>
        <w:t xml:space="preserve">à l’échelle de la plateforme.</w:t>
      </w:r>
    </w:p>
    <w:p>
      <w:pPr>
        <w:pStyle w:val="BodyText"/>
      </w:pPr>
      <w:r>
        <w:t xml:space="preserve">Cette fonctionnalité peut être utilisée</w:t>
      </w:r>
      <w:r>
        <w:t xml:space="preserve"> </w:t>
      </w:r>
      <w:r>
        <w:rPr>
          <w:bCs/>
          <w:b/>
        </w:rPr>
        <w:t xml:space="preserve">par les collectivités pour partager des sites internet régionaux</w:t>
      </w:r>
      <w:r>
        <w:t xml:space="preserve"> </w:t>
      </w:r>
      <w:r>
        <w:t xml:space="preserve">concernant la communauté éducative ou</w:t>
      </w:r>
      <w:r>
        <w:t xml:space="preserve"> </w:t>
      </w:r>
      <w:r>
        <w:rPr>
          <w:bCs/>
          <w:b/>
        </w:rPr>
        <w:t xml:space="preserve">par des enseignants désireux de partager avec leurs élèves des sites internet utiles</w:t>
      </w:r>
      <w:r>
        <w:t xml:space="preserve"> </w:t>
      </w:r>
      <w:r>
        <w:t xml:space="preserve">dans le cadre de leurs cours.</w:t>
      </w:r>
    </w:p>
    <w:p>
      <w:pPr>
        <w:pStyle w:val="BodyText"/>
      </w:pPr>
      <w:r>
        <w:rPr>
          <w:bCs/>
          <w:b/>
        </w:rPr>
        <w:t xml:space="preserve">La création de signets</w:t>
      </w:r>
    </w:p>
    <w:p>
      <w:pPr>
        <w:pStyle w:val="BodyText"/>
      </w:pPr>
      <w:r>
        <w:t xml:space="preserve">Pour accéder à la création de signet, il faut cliquer sur le bouton en haut à droite de Médiacentre.</w:t>
      </w:r>
    </w:p>
    <w:p>
      <w:pPr>
        <w:pStyle w:val="BodyText"/>
      </w:pPr>
      <w:r>
        <w:drawing>
          <wp:inline>
            <wp:extent cx="2643307" cy="545566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5_signets_acc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3307" cy="545566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fois sur la page, le bouton</w:t>
      </w:r>
      <w:r>
        <w:t xml:space="preserve"> </w:t>
      </w:r>
      <w:r>
        <w:rPr>
          <w:bCs/>
          <w:b/>
        </w:rPr>
        <w:t xml:space="preserve">“</w:t>
      </w:r>
      <w:r>
        <w:rPr>
          <w:bCs/>
          <w:b/>
        </w:rPr>
        <w:t xml:space="preserve">Créer un signet</w:t>
      </w:r>
      <w:r>
        <w:rPr>
          <w:bCs/>
          <w:b/>
        </w:rPr>
        <w:t xml:space="preserve">”</w:t>
      </w:r>
      <w:r>
        <w:t xml:space="preserve"> </w:t>
      </w:r>
      <w:r>
        <w:t xml:space="preserve">ouvre le formulaire de création.</w:t>
      </w:r>
    </w:p>
    <w:p>
      <w:pPr>
        <w:pStyle w:val="BodyText"/>
      </w:pPr>
      <w:r>
        <w:drawing>
          <wp:inline>
            <wp:extent cx="5334000" cy="1286844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6_signets_create_button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286844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>
        <w:drawing>
          <wp:inline>
            <wp:extent cx="5334000" cy="2848252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7_signets_creation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2848252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rPr>
          <w:bCs/>
          <w:b/>
        </w:rPr>
        <w:t xml:space="preserve">Tous les champs de ce formulaire sont obligatoires</w:t>
      </w:r>
      <w:r>
        <w:t xml:space="preserve"> </w:t>
      </w:r>
      <w:r>
        <w:t xml:space="preserve">pour permettre un bon référencement dans le moteur de recherche si le signet est partagé ou publié.</w:t>
      </w:r>
    </w:p>
    <w:p>
      <w:pPr>
        <w:pStyle w:val="BodyText"/>
      </w:pPr>
      <w:r>
        <w:t xml:space="preserve">La case à cocher</w:t>
      </w:r>
      <w:r>
        <w:t xml:space="preserve"> </w:t>
      </w:r>
      <w:r>
        <w:rPr>
          <w:bCs/>
          <w:b/>
        </w:rPr>
        <w:t xml:space="preserve">Orientation</w:t>
      </w:r>
      <w:r>
        <w:t xml:space="preserve"> </w:t>
      </w:r>
      <w:r>
        <w:t xml:space="preserve">permet de tagguer le signet avec cette indication.</w:t>
      </w:r>
      <w:r>
        <w:t xml:space="preserve"> </w:t>
      </w:r>
      <w:r>
        <w:rPr>
          <w:bCs/>
          <w:b/>
        </w:rPr>
        <w:t xml:space="preserve">Il apparaîtra dans une section à part</w:t>
      </w:r>
      <w:r>
        <w:t xml:space="preserve"> </w:t>
      </w:r>
      <w:r>
        <w:t xml:space="preserve">sur le tableau de bord pour les utilisateurs qui auront le droit de le voir.</w:t>
      </w:r>
    </w:p>
    <w:p>
      <w:pPr>
        <w:pStyle w:val="BodyText"/>
      </w:pPr>
      <w:r>
        <w:drawing>
          <wp:inline>
            <wp:extent cx="3949593" cy="4441371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11_signets_affichag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9593" cy="4441371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fois le signet créé, il est possible de :</w:t>
      </w:r>
    </w:p>
    <w:p>
      <w:pPr>
        <w:numPr>
          <w:ilvl w:val="0"/>
          <w:numId w:val="1006"/>
        </w:numPr>
      </w:pPr>
      <w:r>
        <w:rPr>
          <w:bCs/>
          <w:b/>
        </w:rPr>
        <w:t xml:space="preserve">le partager</w:t>
      </w:r>
      <w:r>
        <w:t xml:space="preserve"> </w:t>
      </w:r>
      <w:r>
        <w:t xml:space="preserve">à un groupe restreint de personnes via la fenêtre de partage de l’ENT</w:t>
      </w:r>
    </w:p>
    <w:p>
      <w:pPr>
        <w:numPr>
          <w:ilvl w:val="0"/>
          <w:numId w:val="1006"/>
        </w:numPr>
      </w:pPr>
      <w:r>
        <w:rPr>
          <w:bCs/>
          <w:b/>
        </w:rPr>
        <w:t xml:space="preserve">le publier</w:t>
      </w:r>
      <w:r>
        <w:t xml:space="preserve"> </w:t>
      </w:r>
      <w:r>
        <w:t xml:space="preserve">à l’échelle de la plateforme, il sera alors visible de tous</w:t>
      </w:r>
    </w:p>
    <w:p>
      <w:pPr>
        <w:numPr>
          <w:ilvl w:val="0"/>
          <w:numId w:val="1006"/>
        </w:numPr>
      </w:pPr>
      <w:r>
        <w:rPr>
          <w:bCs/>
          <w:b/>
        </w:rPr>
        <w:t xml:space="preserve">le modifier</w:t>
      </w:r>
      <w:r>
        <w:t xml:space="preserve"> </w:t>
      </w:r>
      <w:r>
        <w:t xml:space="preserve">en cliquant sur Propriétés</w:t>
      </w:r>
    </w:p>
    <w:p>
      <w:pPr>
        <w:numPr>
          <w:ilvl w:val="0"/>
          <w:numId w:val="1006"/>
        </w:numPr>
      </w:pPr>
      <w:r>
        <w:rPr>
          <w:bCs/>
          <w:b/>
        </w:rPr>
        <w:t xml:space="preserve">l’archiver</w:t>
      </w:r>
      <w:r>
        <w:t xml:space="preserve"> </w:t>
      </w:r>
      <w:r>
        <w:t xml:space="preserve">si on souhaite s’en débarrasser de façon non permanente</w:t>
      </w:r>
    </w:p>
    <w:p>
      <w:pPr>
        <w:pStyle w:val="FirstParagraph"/>
      </w:pPr>
      <w:r>
        <w:drawing>
          <wp:inline>
            <wp:extent cx="5334000" cy="5083577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8_signets_action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5083577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rPr>
          <w:bCs/>
          <w:b/>
        </w:rPr>
        <w:t xml:space="preserve">Le partage de signets</w:t>
      </w:r>
    </w:p>
    <w:p>
      <w:pPr>
        <w:pStyle w:val="BodyText"/>
      </w:pPr>
      <w:r>
        <w:t xml:space="preserve">Partager un signet permet d’étendre sa visibilité à un groupe restreint de personnes. Cela est utile si le lien ne concerne qu’un profil par exemple.</w:t>
      </w:r>
    </w:p>
    <w:p>
      <w:pPr>
        <w:pStyle w:val="BodyText"/>
      </w:pPr>
      <w:r>
        <w:drawing>
          <wp:inline>
            <wp:extent cx="5334000" cy="1709690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09_signets_partages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1709690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Une fois le signet partagé, il est</w:t>
      </w:r>
      <w:r>
        <w:t xml:space="preserve"> </w:t>
      </w:r>
      <w:r>
        <w:rPr>
          <w:bCs/>
          <w:b/>
        </w:rPr>
        <w:t xml:space="preserve">visible des utilisateurs directement sur leur tableau de bord</w:t>
      </w:r>
      <w:r>
        <w:t xml:space="preserve"> </w:t>
      </w:r>
      <w:r>
        <w:t xml:space="preserve">mais aussi dans le</w:t>
      </w:r>
      <w:r>
        <w:t xml:space="preserve"> </w:t>
      </w:r>
      <w:r>
        <w:rPr>
          <w:bCs/>
          <w:b/>
        </w:rPr>
        <w:t xml:space="preserve">dossier Signets partagés avec moi</w:t>
      </w:r>
      <w:r>
        <w:t xml:space="preserve">. En effet si le signet a été partagé en édition, les utilisateurs pourront à leur tour le partager et le modifier.</w:t>
      </w:r>
    </w:p>
    <w:p>
      <w:pPr>
        <w:pStyle w:val="BodyText"/>
      </w:pPr>
      <w:r>
        <w:drawing>
          <wp:inline>
            <wp:extent cx="2435838" cy="2735515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10_signets_dossier_partage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5838" cy="2735515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Les utilisateurs à qui un signet a été partagé, peuvent le chercher à partir du champ de recherche sur la page d’accueil du médiacentre. Ils peuvent également l’ajouter à leurs favoris.</w:t>
      </w:r>
    </w:p>
    <w:p>
      <w:pPr>
        <w:pStyle w:val="BodyText"/>
      </w:pPr>
      <w:r>
        <w:rPr>
          <w:bCs/>
          <w:b/>
        </w:rPr>
        <w:t xml:space="preserve">La publication de signets</w:t>
      </w:r>
    </w:p>
    <w:p>
      <w:pPr>
        <w:pStyle w:val="BodyText"/>
      </w:pPr>
      <w:r>
        <w:t xml:space="preserve">Publier un signet le rend directement accessible à l’ensemble de la plateforme.</w:t>
      </w:r>
    </w:p>
    <w:p>
      <w:pPr>
        <w:pStyle w:val="BodyText"/>
      </w:pPr>
      <w:r>
        <w:t xml:space="preserve">Cette publication</w:t>
      </w:r>
      <w:r>
        <w:t xml:space="preserve"> </w:t>
      </w:r>
      <w:r>
        <w:rPr>
          <w:bCs/>
          <w:b/>
        </w:rPr>
        <w:t xml:space="preserve">duplique en fait le signet d’origine</w:t>
      </w:r>
      <w:r>
        <w:t xml:space="preserve">. Il est alors disponible dans</w:t>
      </w:r>
      <w:r>
        <w:t xml:space="preserve"> </w:t>
      </w:r>
      <w:r>
        <w:rPr>
          <w:bCs/>
          <w:b/>
        </w:rPr>
        <w:t xml:space="preserve">le dossier Mes signets publiés</w:t>
      </w:r>
      <w:r>
        <w:t xml:space="preserve"> </w:t>
      </w:r>
      <w:r>
        <w:t xml:space="preserve">d’où il sera possible de le</w:t>
      </w:r>
      <w:r>
        <w:t xml:space="preserve"> </w:t>
      </w:r>
      <w:r>
        <w:rPr>
          <w:bCs/>
          <w:b/>
        </w:rPr>
        <w:t xml:space="preserve">supprimer</w:t>
      </w:r>
      <w:r>
        <w:t xml:space="preserve">.</w:t>
      </w:r>
    </w:p>
    <w:p>
      <w:pPr>
        <w:pStyle w:val="BodyText"/>
      </w:pPr>
      <w:r>
        <w:drawing>
          <wp:inline>
            <wp:extent cx="5334000" cy="5031719"/>
            <wp:effectExtent b="0" l="0" r="0" t="0"/>
            <wp:docPr descr="" title="" id="1" name="Picture"/>
            <a:graphic>
              <a:graphicData uri="http://schemas.openxmlformats.org/drawingml/2006/picture">
                <pic:pic>
                  <pic:nvPicPr>
                    <pic:cNvPr descr="img_cgi/mediacentre/12_signets_supprimer.png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5031719"/>
                    </a:xfrm>
                    <a:prstGeom prst="rect">
                      <a:avLst/>
                    </a:prstGeom>
                    <a:noFill/>
                    <a:ln w="9525">
                      <a:noFill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BodyText"/>
      </w:pPr>
      <w:r>
        <w:t xml:space="preserve">Attention, cette fonctionnalité n’est pour le moment pas restreinte. Il est donc possible à n’importe qui ayant le droit de création de signets de le publier sur la plateforme.</w:t>
      </w:r>
    </w:p>
    <w:bookmarkEnd w:id="38"/>
    <w:bookmarkEnd w:id="39"/>
    <w:sectPr/>
  </w:body>
</w:document>
</file>

<file path=word/comments.xml><?xml version="1.0" encoding="utf-8"?>
<w:comment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/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="http://schemas.openxmlformats.org/wordprocessingml/2006/main">
  <w:abstractNum w:abstractNumId="990">
    <w:nsid w:val="A990"/>
    <w:multiLevelType w:val="multilevel"/>
    <w:lvl w:ilvl="0">
      <w:numFmt w:val="bullet"/>
      <w:lvlText w:val=" "/>
      <w:lvlJc w:val="left"/>
      <w:pPr>
        <w:ind w:left="720" w:hanging="480"/>
      </w:pPr>
    </w:lvl>
    <w:lvl w:ilvl="1">
      <w:numFmt w:val="bullet"/>
      <w:lvlText w:val=" "/>
      <w:lvlJc w:val="left"/>
      <w:pPr>
        <w:ind w:left="1440" w:hanging="480"/>
      </w:pPr>
    </w:lvl>
    <w:lvl w:ilvl="2">
      <w:numFmt w:val="bullet"/>
      <w:lvlText w:val=" "/>
      <w:lvlJc w:val="left"/>
      <w:pPr>
        <w:ind w:left="2160" w:hanging="480"/>
      </w:pPr>
    </w:lvl>
    <w:lvl w:ilvl="3">
      <w:numFmt w:val="bullet"/>
      <w:lvlText w:val=" "/>
      <w:lvlJc w:val="left"/>
      <w:pPr>
        <w:ind w:left="2880" w:hanging="480"/>
      </w:pPr>
    </w:lvl>
    <w:lvl w:ilvl="4">
      <w:numFmt w:val="bullet"/>
      <w:lvlText w:val=" "/>
      <w:lvlJc w:val="left"/>
      <w:pPr>
        <w:ind w:left="3600" w:hanging="480"/>
      </w:pPr>
    </w:lvl>
    <w:lvl w:ilvl="5">
      <w:numFmt w:val="bullet"/>
      <w:lvlText w:val=" "/>
      <w:lvlJc w:val="left"/>
      <w:pPr>
        <w:ind w:left="4320" w:hanging="480"/>
      </w:pPr>
    </w:lvl>
    <w:lvl w:ilvl="6">
      <w:numFmt w:val="bullet"/>
      <w:lvlText w:val=" "/>
      <w:lvlJc w:val="left"/>
      <w:pPr>
        <w:ind w:left="5040" w:hanging="480"/>
      </w:pPr>
    </w:lvl>
    <w:lvl w:ilvl="7">
      <w:numFmt w:val="bullet"/>
      <w:lvlText w:val=" "/>
      <w:lvlJc w:val="left"/>
      <w:pPr>
        <w:ind w:left="5760" w:hanging="480"/>
      </w:pPr>
    </w:lvl>
    <w:lvl w:ilvl="8">
      <w:numFmt w:val="bullet"/>
      <w:lvlText w:val=" "/>
      <w:lvlJc w:val="left"/>
      <w:pPr>
        <w:ind w:left="6480" w:hanging="480"/>
      </w:pPr>
    </w:lvl>
  </w:abstractNum>
  <w:abstractNum w:abstractNumId="991">
    <w:nsid w:val="A991"/>
    <w:multiLevelType w:val="multilevel"/>
    <w:lvl w:ilvl="0">
      <w:numFmt w:val="bullet"/>
      <w:lvlText w:val="•"/>
      <w:lvlJc w:val="left"/>
      <w:pPr>
        <w:ind w:left="720" w:hanging="480"/>
      </w:pPr>
    </w:lvl>
    <w:lvl w:ilvl="1">
      <w:numFmt w:val="bullet"/>
      <w:lvlText w:val="–"/>
      <w:lvlJc w:val="left"/>
      <w:pPr>
        <w:ind w:left="1440" w:hanging="480"/>
      </w:pPr>
    </w:lvl>
    <w:lvl w:ilvl="2">
      <w:numFmt w:val="bullet"/>
      <w:lvlText w:val="•"/>
      <w:lvlJc w:val="left"/>
      <w:pPr>
        <w:ind w:left="2160" w:hanging="480"/>
      </w:pPr>
    </w:lvl>
    <w:lvl w:ilvl="3">
      <w:numFmt w:val="bullet"/>
      <w:lvlText w:val="–"/>
      <w:lvlJc w:val="left"/>
      <w:pPr>
        <w:ind w:left="2880" w:hanging="480"/>
      </w:pPr>
    </w:lvl>
    <w:lvl w:ilvl="4">
      <w:numFmt w:val="bullet"/>
      <w:lvlText w:val="•"/>
      <w:lvlJc w:val="left"/>
      <w:pPr>
        <w:ind w:left="3600" w:hanging="480"/>
      </w:pPr>
    </w:lvl>
    <w:lvl w:ilvl="5">
      <w:numFmt w:val="bullet"/>
      <w:lvlText w:val="–"/>
      <w:lvlJc w:val="left"/>
      <w:pPr>
        <w:ind w:left="4320" w:hanging="480"/>
      </w:pPr>
    </w:lvl>
    <w:lvl w:ilvl="6">
      <w:numFmt w:val="bullet"/>
      <w:lvlText w:val="•"/>
      <w:lvlJc w:val="left"/>
      <w:pPr>
        <w:ind w:left="5040" w:hanging="480"/>
      </w:pPr>
    </w:lvl>
    <w:lvl w:ilvl="7">
      <w:numFmt w:val="bullet"/>
      <w:lvlText w:val="–"/>
      <w:lvlJc w:val="left"/>
      <w:pPr>
        <w:ind w:left="5760" w:hanging="480"/>
      </w:pPr>
    </w:lvl>
    <w:lvl w:ilvl="8">
      <w:numFmt w:val="bullet"/>
      <w:lvlText w:val="•"/>
      <w:lvlJc w:val="left"/>
      <w:pPr>
        <w:ind w:left="6480" w:hanging="480"/>
      </w:pPr>
    </w:lvl>
  </w:abstractNum>
  <w:num w:numId="1000">
    <w:abstractNumId w:val="990"/>
  </w:num>
  <w:num w:numId="1001">
    <w:abstractNumId w:val="991"/>
  </w:num>
  <w:num w:numId="1002">
    <w:abstractNumId w:val="991"/>
  </w:num>
  <w:num w:numId="1003">
    <w:abstractNumId w:val="991"/>
  </w:num>
  <w:num w:numId="1004">
    <w:abstractNumId w:val="991"/>
  </w:num>
  <w:num w:numId="1005">
    <w:abstractNumId w:val="991"/>
  </w:num>
  <w:num w:numId="1006">
    <w:abstractNumId w:val="991"/>
  </w:num>
</w:numbering>
</file>

<file path=word/settings.xml><?xml version="1.0" encoding="utf-8"?>
<w:settings xmlns:m="http://schemas.openxmlformats.org/officeDocument/2006/math" xmlns:o="urn:schemas-microsoft-com:office:office" xmlns:r="http://schemas.openxmlformats.org/officeDocument/2006/relationships" xmlns:sl="http://schemas.openxmlformats.org/schemaLibrary/2006/main" xmlns:v="urn:schemas-microsoft-com:vml" xmlns:w="http://schemas.openxmlformats.org/wordprocessingml/2006/main" xmlns:w10="urn:schemas-microsoft-com:office:word">
  <w:stylePaneFormatFilter w:val="0004"/>
  <w:footnotePr>
    <w:footnote w:id="-1"/>
    <w:footnote w:id="0"/>
  </w:footnotePr>
  <w:rsids>
  </w:rsids>
  <w:clrSchemeMapping w:accent1="accent1" w:accent2="accent2" w:accent3="accent3" w:accent4="accent4" w:accent5="accent5" w:accent6="accent6" w:bg1="light1" w:bg2="light2" w:followedHyperlink="followedHyperlink" w:hyperlink="hyperlink" w:t1="dark1" w:t2="dark2"/>
  <w:zoom w:percent="100"/>
  <w:embedSystemFonts/>
  <w:proofState w:grammar="clean"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m:mathPr>
    <m:mathFont m:val="Cambria Math"/>
    <m:brkBin m:val="before"/>
    <m:brkBinSub m:val="--"/>
    <m:smallFrac m:val="0"/>
    <m:dispDef/>
    <m:lMargin m:val="0"/>
    <m:rMargin m:val="0"/>
    <m:wrapRight/>
    <m:intLim m:val="subSup"/>
    <m:naryLim m:val="undOvr"/>
  </m:mathPr>
  <w:themeFontLang w:val="en-US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cstheme="minorBidi" w:eastAsiaTheme="minorHAnsi" w:hAnsiTheme="minorHAnsi"/>
        <w:sz w:val="24"/>
        <w:szCs w:val="24"/>
        <w:lang w:bidi="ar-SA" w:eastAsia="en-US" w:val="en-US"/>
      </w:rPr>
    </w:rPrDefault>
    <w:pPrDefault>
      <w:pPr>
        <w:spacing w:after="200"/>
      </w:pPr>
    </w:pPrDefault>
  </w:docDefaults>
  <w:latentStyles w:count="276" w:defLockedState="0" w:defQFormat="0" w:defSemiHidden="0" w:defUIPriority="0" w:defUnhideWhenUsed="0"/>
  <w:style w:default="1" w:styleId="Normal" w:type="paragraph">
    <w:name w:val="Normal"/>
    <w:qFormat/>
  </w:style>
  <w:style w:styleId="BodyText" w:type="paragraph">
    <w:name w:val="Body Text"/>
    <w:basedOn w:val="Normal"/>
    <w:link w:val="BodyTextChar"/>
    <w:pPr>
      <w:spacing w:after="180" w:before="180"/>
    </w:pPr>
    <w:qFormat/>
  </w:style>
  <w:style w:customStyle="1" w:styleId="FirstParagraph" w:type="paragraph">
    <w:name w:val="First Paragraph"/>
    <w:basedOn w:val="BodyText"/>
    <w:next w:val="BodyText"/>
    <w:qFormat/>
  </w:style>
  <w:style w:customStyle="1" w:styleId="Compact" w:type="paragraph">
    <w:name w:val="Compact"/>
    <w:basedOn w:val="BodyText"/>
    <w:qFormat/>
    <w:pPr>
      <w:spacing w:after="36" w:before="36"/>
    </w:pPr>
  </w:style>
  <w:style w:styleId="Title" w:type="paragraph">
    <w:name w:val="Title"/>
    <w:basedOn w:val="Normal"/>
    <w:next w:val="BodyText"/>
    <w:qFormat/>
    <w:pPr>
      <w:keepNext/>
      <w:keepLines/>
      <w:spacing w:after="240" w:before="480"/>
      <w:jc w:val="center"/>
    </w:pPr>
    <w:rPr>
      <w:rFonts w:asciiTheme="majorHAnsi" w:cstheme="majorBidi" w:eastAsiaTheme="majorEastAsia" w:hAnsiTheme="majorHAnsi"/>
      <w:b/>
      <w:bCs/>
      <w:color w:themeColor="accent1" w:themeShade="B5" w:val="345A8A"/>
      <w:sz w:val="36"/>
      <w:szCs w:val="36"/>
    </w:rPr>
  </w:style>
  <w:style w:styleId="Subtitle" w:type="paragraph">
    <w:name w:val="Subtitle"/>
    <w:basedOn w:val="Title"/>
    <w:next w:val="BodyText"/>
    <w:qFormat/>
    <w:pPr>
      <w:keepNext/>
      <w:keepLines/>
      <w:spacing w:after="240" w:before="240"/>
      <w:jc w:val="center"/>
    </w:pPr>
    <w:rPr>
      <w:sz w:val="30"/>
      <w:szCs w:val="30"/>
    </w:rPr>
  </w:style>
  <w:style w:customStyle="1" w:styleId="Author" w:type="paragraph">
    <w:name w:val="Author"/>
    <w:next w:val="BodyText"/>
    <w:qFormat/>
    <w:pPr>
      <w:keepNext/>
      <w:keepLines/>
      <w:jc w:val="center"/>
    </w:pPr>
  </w:style>
  <w:style w:styleId="Date" w:type="paragraph">
    <w:name w:val="Date"/>
    <w:next w:val="BodyText"/>
    <w:qFormat/>
    <w:pPr>
      <w:keepNext/>
      <w:keepLines/>
      <w:jc w:val="center"/>
    </w:pPr>
  </w:style>
  <w:style w:customStyle="1" w:styleId="Abstract" w:type="paragraph">
    <w:name w:val="Abstract"/>
    <w:basedOn w:val="Normal"/>
    <w:next w:val="BodyText"/>
    <w:qFormat/>
    <w:pPr>
      <w:keepNext/>
      <w:keepLines/>
      <w:spacing w:after="300" w:before="300"/>
    </w:pPr>
    <w:rPr>
      <w:sz w:val="20"/>
      <w:szCs w:val="20"/>
    </w:rPr>
  </w:style>
  <w:style w:styleId="Bibliography" w:type="paragraph">
    <w:name w:val="Bibliography"/>
    <w:basedOn w:val="Normal"/>
    <w:next w:val="Bibliography"/>
    <w:qFormat/>
    <w:pPr/>
    <w:rPr/>
  </w:style>
  <w:style w:styleId="Heading1" w:type="paragraph">
    <w:name w:val="Heading 1"/>
    <w:basedOn w:val="Normal"/>
    <w:next w:val="BodyText"/>
    <w:uiPriority w:val="9"/>
    <w:qFormat/>
    <w:pPr>
      <w:keepNext/>
      <w:keepLines/>
      <w:spacing w:after="0" w:before="480"/>
      <w:outlineLvl w:val="0"/>
    </w:pPr>
    <w:rPr>
      <w:rFonts w:asciiTheme="majorHAnsi" w:cstheme="majorBidi" w:eastAsiaTheme="majorEastAsia" w:hAnsiTheme="majorHAnsi"/>
      <w:b/>
      <w:bCs/>
      <w:color w:themeColor="accent1" w:val="4F81BD"/>
      <w:sz w:val="32"/>
      <w:szCs w:val="32"/>
    </w:rPr>
  </w:style>
  <w:style w:styleId="Heading2" w:type="paragraph">
    <w:name w:val="Heading 2"/>
    <w:basedOn w:val="Normal"/>
    <w:next w:val="BodyText"/>
    <w:uiPriority w:val="9"/>
    <w:unhideWhenUsed/>
    <w:qFormat/>
    <w:pPr>
      <w:keepNext/>
      <w:keepLines/>
      <w:spacing w:after="0" w:before="200"/>
      <w:outlineLvl w:val="1"/>
    </w:pPr>
    <w:rPr>
      <w:rFonts w:asciiTheme="majorHAnsi" w:cstheme="majorBidi" w:eastAsiaTheme="majorEastAsia" w:hAnsiTheme="majorHAnsi"/>
      <w:b/>
      <w:bCs/>
      <w:color w:themeColor="accent1" w:val="4F81BD"/>
      <w:sz w:val="28"/>
      <w:szCs w:val="28"/>
    </w:rPr>
  </w:style>
  <w:style w:styleId="Heading3" w:type="paragraph">
    <w:name w:val="Heading 3"/>
    <w:basedOn w:val="Normal"/>
    <w:next w:val="BodyText"/>
    <w:uiPriority w:val="9"/>
    <w:unhideWhenUsed/>
    <w:qFormat/>
    <w:pPr>
      <w:keepNext/>
      <w:keepLines/>
      <w:spacing w:after="0" w:before="200"/>
      <w:outlineLvl w:val="2"/>
    </w:pPr>
    <w:rPr>
      <w:rFonts w:asciiTheme="majorHAnsi" w:cstheme="majorBidi" w:eastAsiaTheme="majorEastAsia" w:hAnsiTheme="majorHAnsi"/>
      <w:b/>
      <w:bCs/>
      <w:color w:themeColor="accent1" w:val="4F81BD"/>
      <w:sz w:val="24"/>
      <w:szCs w:val="24"/>
    </w:rPr>
  </w:style>
  <w:style w:styleId="Heading4" w:type="paragraph">
    <w:name w:val="Heading 4"/>
    <w:basedOn w:val="Normal"/>
    <w:next w:val="BodyText"/>
    <w:uiPriority w:val="9"/>
    <w:unhideWhenUsed/>
    <w:qFormat/>
    <w:pPr>
      <w:keepNext/>
      <w:keepLines/>
      <w:spacing w:after="0" w:before="200"/>
      <w:outlineLvl w:val="3"/>
    </w:pPr>
    <w:rPr>
      <w:rFonts w:asciiTheme="majorHAnsi" w:cstheme="majorBidi" w:eastAsiaTheme="majorEastAsia" w:hAnsiTheme="majorHAnsi"/>
      <w:i/>
      <w:bCs/>
      <w:color w:themeColor="accent1" w:val="4F81BD"/>
      <w:sz w:val="24"/>
      <w:szCs w:val="24"/>
    </w:rPr>
  </w:style>
  <w:style w:styleId="Heading5" w:type="paragraph">
    <w:name w:val="Heading 5"/>
    <w:basedOn w:val="Normal"/>
    <w:next w:val="BodyText"/>
    <w:uiPriority w:val="9"/>
    <w:unhideWhenUsed/>
    <w:qFormat/>
    <w:pPr>
      <w:keepNext/>
      <w:keepLines/>
      <w:spacing w:after="0" w:before="200"/>
      <w:outlineLvl w:val="4"/>
    </w:pPr>
    <w:rPr>
      <w:rFonts w:asciiTheme="majorHAnsi" w:cstheme="majorBidi" w:eastAsiaTheme="majorEastAsia" w:hAnsiTheme="majorHAnsi"/>
      <w:iCs/>
      <w:color w:themeColor="accent1" w:val="4F81BD"/>
      <w:sz w:val="24"/>
      <w:szCs w:val="24"/>
    </w:rPr>
  </w:style>
  <w:style w:styleId="Heading6" w:type="paragraph">
    <w:name w:val="Heading 6"/>
    <w:basedOn w:val="Normal"/>
    <w:next w:val="BodyText"/>
    <w:uiPriority w:val="9"/>
    <w:unhideWhenUsed/>
    <w:qFormat/>
    <w:pPr>
      <w:keepNext/>
      <w:keepLines/>
      <w:spacing w:after="0" w:before="200"/>
      <w:outlineLvl w:val="5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7" w:type="paragraph">
    <w:name w:val="Heading 7"/>
    <w:basedOn w:val="Normal"/>
    <w:next w:val="BodyText"/>
    <w:uiPriority w:val="9"/>
    <w:unhideWhenUsed/>
    <w:qFormat/>
    <w:pPr>
      <w:keepNext/>
      <w:keepLines/>
      <w:spacing w:after="0" w:before="200"/>
      <w:outlineLvl w:val="6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8" w:type="paragraph">
    <w:name w:val="Heading 8"/>
    <w:basedOn w:val="Normal"/>
    <w:next w:val="BodyText"/>
    <w:uiPriority w:val="9"/>
    <w:unhideWhenUsed/>
    <w:qFormat/>
    <w:pPr>
      <w:keepNext/>
      <w:keepLines/>
      <w:spacing w:after="0" w:before="200"/>
      <w:outlineLvl w:val="7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Heading9" w:type="paragraph">
    <w:name w:val="Heading 9"/>
    <w:basedOn w:val="Normal"/>
    <w:next w:val="BodyText"/>
    <w:uiPriority w:val="9"/>
    <w:unhideWhenUsed/>
    <w:qFormat/>
    <w:pPr>
      <w:keepNext/>
      <w:keepLines/>
      <w:spacing w:after="0" w:before="200"/>
      <w:outlineLvl w:val="8"/>
    </w:pPr>
    <w:rPr>
      <w:rFonts w:asciiTheme="majorHAnsi" w:cstheme="majorBidi" w:eastAsiaTheme="majorEastAsia" w:hAnsiTheme="majorHAnsi"/>
      <w:color w:themeColor="accent1" w:val="4F81BD"/>
      <w:sz w:val="24"/>
      <w:szCs w:val="24"/>
    </w:rPr>
  </w:style>
  <w:style w:styleId="BlockText" w:type="paragraph">
    <w:name w:val="Block Text"/>
    <w:basedOn w:val="BodyText"/>
    <w:next w:val="BodyText"/>
    <w:uiPriority w:val="9"/>
    <w:unhideWhenUsed/>
    <w:qFormat/>
    <w:pPr>
      <w:spacing w:after="100" w:before="100"/>
      <w:ind w:firstLine="0" w:left="480" w:right="480"/>
    </w:pPr>
  </w:style>
  <w:style w:styleId="FootnoteText" w:type="paragraph">
    <w:name w:val="Footnote Text"/>
    <w:basedOn w:val="Normal"/>
    <w:next w:val="FootnoteText"/>
    <w:uiPriority w:val="9"/>
    <w:unhideWhenUsed/>
    <w:qFormat/>
  </w:style>
  <w:style w:default="1" w:styleId="DefaultParagraphFont" w:type="character">
    <w:name w:val="Default Paragraph Font"/>
    <w:semiHidden/>
    <w:unhideWhenUsed/>
  </w:style>
  <w:style w:default="1" w:styleId="Table" w:type="table">
    <w:name w:val="Table"/>
    <w:basedOn w:val="TableNormal"/>
    <w:semiHidden/>
    <w:unhideWhenUsed/>
    <w:qFormat/>
    <w:tblPr>
      <w:tblInd w:type="dxa" w:w="0"/>
      <w:tblCellMar>
        <w:top w:type="dxa" w:w="0"/>
        <w:left w:type="dxa" w:w="108"/>
        <w:bottom w:type="dxa" w:w="0"/>
        <w:right w:type="dxa" w:w="108"/>
      </w:tblCellMar>
    </w:tblPr>
    <w:tblStylePr w:type="firstRow">
      <w:tblPr>
        <w:jc w:val="left"/>
        <w:tblInd w:type="dxa" w:w="0"/>
      </w:tblPr>
      <w:trPr>
        <w:jc w:val="left"/>
      </w:trPr>
      <w:tcPr>
        <w:vAlign w:val="bottom"/>
        <w:tcBorders>
          <w:bottom w:val="single"/>
        </w:tcBorders>
      </w:tcPr>
    </w:tblStylePr>
  </w:style>
  <w:style w:customStyle="1" w:styleId="DefinitionTerm" w:type="paragraph">
    <w:name w:val="Definition Term"/>
    <w:basedOn w:val="Normal"/>
    <w:next w:val="Definition"/>
    <w:pPr>
      <w:keepNext/>
      <w:keepLines/>
      <w:spacing w:after="0"/>
    </w:pPr>
    <w:rPr>
      <w:b/>
    </w:rPr>
  </w:style>
  <w:style w:customStyle="1" w:styleId="Definition" w:type="paragraph">
    <w:name w:val="Definition"/>
    <w:basedOn w:val="Normal"/>
  </w:style>
  <w:style w:styleId="Caption" w:type="paragraph">
    <w:name w:val="Caption"/>
    <w:basedOn w:val="Normal"/>
    <w:link w:val="BodyTextChar"/>
    <w:pPr>
      <w:spacing w:after="120" w:before="0"/>
    </w:pPr>
    <w:rPr>
      <w:i/>
    </w:rPr>
  </w:style>
  <w:style w:customStyle="1" w:styleId="TableCaption" w:type="paragraph">
    <w:name w:val="Table Caption"/>
    <w:basedOn w:val="Caption"/>
    <w:pPr>
      <w:keepNext/>
    </w:pPr>
  </w:style>
  <w:style w:customStyle="1" w:styleId="ImageCaption" w:type="paragraph">
    <w:name w:val="Image Caption"/>
    <w:basedOn w:val="Caption"/>
  </w:style>
  <w:style w:customStyle="1" w:styleId="Figure" w:type="paragraph">
    <w:name w:val="Figure"/>
    <w:basedOn w:val="Normal"/>
  </w:style>
  <w:style w:customStyle="1" w:styleId="CaptionedFigure" w:type="paragraph">
    <w:name w:val="Captioned Figure"/>
    <w:basedOn w:val="Figure"/>
    <w:pPr>
      <w:keepNext/>
    </w:pPr>
  </w:style>
  <w:style w:customStyle="1" w:styleId="BodyTextChar" w:type="character">
    <w:name w:val="Body Text Char"/>
    <w:basedOn w:val="DefaultParagraphFont"/>
    <w:link w:val="BodyText"/>
  </w:style>
  <w:style w:customStyle="1" w:styleId="VerbatimChar" w:type="character">
    <w:name w:val="Verbatim Char"/>
    <w:basedOn w:val="BodyTextChar"/>
    <w:rPr>
      <w:rFonts w:ascii="Consolas" w:hAnsi="Consolas"/>
      <w:sz w:val="22"/>
    </w:rPr>
  </w:style>
  <w:style w:customStyle="1" w:styleId="SectionNumber" w:type="character">
    <w:name w:val="Section Number"/>
    <w:basedOn w:val="BodyTextChar"/>
  </w:style>
  <w:style w:styleId="FootnoteReference" w:type="character">
    <w:name w:val="Footnote Reference"/>
    <w:basedOn w:val="BodyTextChar"/>
    <w:rPr>
      <w:vertAlign w:val="superscript"/>
    </w:rPr>
  </w:style>
  <w:style w:styleId="Hyperlink" w:type="character">
    <w:name w:val="Hyperlink"/>
    <w:basedOn w:val="BodyTextChar"/>
    <w:rPr>
      <w:color w:themeColor="accent1" w:val="4F81BD"/>
    </w:rPr>
  </w:style>
  <w:style w:styleId="TOCHeading" w:type="paragraph">
    <w:name w:val="TOC Heading"/>
    <w:basedOn w:val="Heading1"/>
    <w:next w:val="BodyText"/>
    <w:uiPriority w:val="39"/>
    <w:unhideWhenUsed/>
    <w:qFormat/>
    <w:pPr>
      <w:spacing w:before="240" w:line="259" w:lineRule="auto"/>
      <w:outlineLvl w:val="9"/>
    </w:pPr>
    <w:rPr>
      <w:rFonts w:asciiTheme="majorHAnsi" w:cstheme="majorBidi" w:eastAsiaTheme="majorEastAsia" w:hAnsiTheme="majorHAnsi"/>
      <w:b w:val="0"/>
      <w:bCs w:val="0"/>
      <w:color w:themeColor="accent1" w:themeShade="BF" w:val="365F91"/>
    </w:rPr>
  </w:style>
  <w:style w:type="paragraph" w:customStyle="1" w:styleId="SourceCode">
    <w:name w:val="Source Code"/>
    <w:basedOn w:val="Normal"/>
    <w:link w:val="VerbatimChar"/>
    <w:pPr>
      <w:wordWrap w:val="off"/>
    </w:pPr>
  </w:style>
  <w:style w:type="character" w:customStyle="1" w:styleId="KeywordTok">
    <w:name w:val="KeywordTok"/>
    <w:basedOn w:val="VerbatimChar"/>
    <w:rPr>
      <w:color w:val="007020"/>
      <w:b/>
    </w:rPr>
  </w:style>
  <w:style w:type="character" w:customStyle="1" w:styleId="DataTypeTok">
    <w:name w:val="DataTypeTok"/>
    <w:basedOn w:val="VerbatimChar"/>
    <w:rPr>
      <w:color w:val="902000"/>
    </w:rPr>
  </w:style>
  <w:style w:type="character" w:customStyle="1" w:styleId="DecValTok">
    <w:name w:val="DecValTok"/>
    <w:basedOn w:val="VerbatimChar"/>
    <w:rPr>
      <w:color w:val="40a070"/>
    </w:rPr>
  </w:style>
  <w:style w:type="character" w:customStyle="1" w:styleId="BaseNTok">
    <w:name w:val="BaseNTok"/>
    <w:basedOn w:val="VerbatimChar"/>
    <w:rPr>
      <w:color w:val="40a070"/>
    </w:rPr>
  </w:style>
  <w:style w:type="character" w:customStyle="1" w:styleId="FloatTok">
    <w:name w:val="FloatTok"/>
    <w:basedOn w:val="VerbatimChar"/>
    <w:rPr>
      <w:color w:val="40a070"/>
    </w:rPr>
  </w:style>
  <w:style w:type="character" w:customStyle="1" w:styleId="ConstantTok">
    <w:name w:val="ConstantTok"/>
    <w:basedOn w:val="VerbatimChar"/>
    <w:rPr>
      <w:color w:val="880000"/>
    </w:rPr>
  </w:style>
  <w:style w:type="character" w:customStyle="1" w:styleId="CharTok">
    <w:name w:val="CharTok"/>
    <w:basedOn w:val="VerbatimChar"/>
    <w:rPr>
      <w:color w:val="4070a0"/>
    </w:rPr>
  </w:style>
  <w:style w:type="character" w:customStyle="1" w:styleId="SpecialCharTok">
    <w:name w:val="SpecialCharTok"/>
    <w:basedOn w:val="VerbatimChar"/>
    <w:rPr>
      <w:color w:val="4070a0"/>
    </w:rPr>
  </w:style>
  <w:style w:type="character" w:customStyle="1" w:styleId="StringTok">
    <w:name w:val="StringTok"/>
    <w:basedOn w:val="VerbatimChar"/>
    <w:rPr>
      <w:color w:val="4070a0"/>
    </w:rPr>
  </w:style>
  <w:style w:type="character" w:customStyle="1" w:styleId="VerbatimStringTok">
    <w:name w:val="VerbatimStringTok"/>
    <w:basedOn w:val="VerbatimChar"/>
    <w:rPr>
      <w:color w:val="4070a0"/>
    </w:rPr>
  </w:style>
  <w:style w:type="character" w:customStyle="1" w:styleId="SpecialStringTok">
    <w:name w:val="SpecialStringTok"/>
    <w:basedOn w:val="VerbatimChar"/>
    <w:rPr>
      <w:color w:val="bb6688"/>
    </w:rPr>
  </w:style>
  <w:style w:type="character" w:customStyle="1" w:styleId="ImportTok">
    <w:name w:val="ImportTok"/>
    <w:basedOn w:val="VerbatimChar"/>
    <w:rPr/>
  </w:style>
  <w:style w:type="character" w:customStyle="1" w:styleId="CommentTok">
    <w:name w:val="CommentTok"/>
    <w:basedOn w:val="VerbatimChar"/>
    <w:rPr>
      <w:color w:val="60a0b0"/>
      <w:i/>
    </w:rPr>
  </w:style>
  <w:style w:type="character" w:customStyle="1" w:styleId="DocumentationTok">
    <w:name w:val="DocumentationTok"/>
    <w:basedOn w:val="VerbatimChar"/>
    <w:rPr>
      <w:color w:val="ba2121"/>
      <w:i/>
    </w:rPr>
  </w:style>
  <w:style w:type="character" w:customStyle="1" w:styleId="AnnotationTok">
    <w:name w:val="AnnotationTok"/>
    <w:basedOn w:val="VerbatimChar"/>
    <w:rPr>
      <w:color w:val="60a0b0"/>
      <w:b/>
      <w:i/>
    </w:rPr>
  </w:style>
  <w:style w:type="character" w:customStyle="1" w:styleId="CommentVarTok">
    <w:name w:val="CommentVarTok"/>
    <w:basedOn w:val="VerbatimChar"/>
    <w:rPr>
      <w:color w:val="60a0b0"/>
      <w:b/>
      <w:i/>
    </w:rPr>
  </w:style>
  <w:style w:type="character" w:customStyle="1" w:styleId="OtherTok">
    <w:name w:val="OtherTok"/>
    <w:basedOn w:val="VerbatimChar"/>
    <w:rPr>
      <w:color w:val="007020"/>
    </w:rPr>
  </w:style>
  <w:style w:type="character" w:customStyle="1" w:styleId="FunctionTok">
    <w:name w:val="FunctionTok"/>
    <w:basedOn w:val="VerbatimChar"/>
    <w:rPr>
      <w:color w:val="06287e"/>
    </w:rPr>
  </w:style>
  <w:style w:type="character" w:customStyle="1" w:styleId="VariableTok">
    <w:name w:val="VariableTok"/>
    <w:basedOn w:val="VerbatimChar"/>
    <w:rPr>
      <w:color w:val="19177c"/>
    </w:rPr>
  </w:style>
  <w:style w:type="character" w:customStyle="1" w:styleId="ControlFlowTok">
    <w:name w:val="ControlFlowTok"/>
    <w:basedOn w:val="VerbatimChar"/>
    <w:rPr>
      <w:color w:val="007020"/>
      <w:b/>
    </w:rPr>
  </w:style>
  <w:style w:type="character" w:customStyle="1" w:styleId="OperatorTok">
    <w:name w:val="OperatorTok"/>
    <w:basedOn w:val="VerbatimChar"/>
    <w:rPr>
      <w:color w:val="666666"/>
    </w:rPr>
  </w:style>
  <w:style w:type="character" w:customStyle="1" w:styleId="BuiltInTok">
    <w:name w:val="BuiltInTok"/>
    <w:basedOn w:val="VerbatimChar"/>
    <w:rPr/>
  </w:style>
  <w:style w:type="character" w:customStyle="1" w:styleId="ExtensionTok">
    <w:name w:val="ExtensionTok"/>
    <w:basedOn w:val="VerbatimChar"/>
    <w:rPr/>
  </w:style>
  <w:style w:type="character" w:customStyle="1" w:styleId="PreprocessorTok">
    <w:name w:val="PreprocessorTok"/>
    <w:basedOn w:val="VerbatimChar"/>
    <w:rPr>
      <w:color w:val="bc7a00"/>
    </w:rPr>
  </w:style>
  <w:style w:type="character" w:customStyle="1" w:styleId="AttributeTok">
    <w:name w:val="AttributeTok"/>
    <w:basedOn w:val="VerbatimChar"/>
    <w:rPr>
      <w:color w:val="7d9029"/>
    </w:rPr>
  </w:style>
  <w:style w:type="character" w:customStyle="1" w:styleId="RegionMarkerTok">
    <w:name w:val="RegionMarkerTok"/>
    <w:basedOn w:val="VerbatimChar"/>
    <w:rPr/>
  </w:style>
  <w:style w:type="character" w:customStyle="1" w:styleId="InformationTok">
    <w:name w:val="InformationTok"/>
    <w:basedOn w:val="VerbatimChar"/>
    <w:rPr>
      <w:color w:val="60a0b0"/>
      <w:b/>
      <w:i/>
    </w:rPr>
  </w:style>
  <w:style w:type="character" w:customStyle="1" w:styleId="WarningTok">
    <w:name w:val="WarningTok"/>
    <w:basedOn w:val="VerbatimChar"/>
    <w:rPr>
      <w:color w:val="60a0b0"/>
      <w:b/>
      <w:i/>
    </w:rPr>
  </w:style>
  <w:style w:type="character" w:customStyle="1" w:styleId="AlertTok">
    <w:name w:val="AlertTok"/>
    <w:basedOn w:val="VerbatimChar"/>
    <w:rPr>
      <w:color w:val="ff0000"/>
      <w:b/>
    </w:rPr>
  </w:style>
  <w:style w:type="character" w:customStyle="1" w:styleId="ErrorTok">
    <w:name w:val="ErrorTok"/>
    <w:basedOn w:val="VerbatimChar"/>
    <w:rPr>
      <w:color w:val="ff0000"/>
      <w:b/>
    </w:rPr>
  </w:style>
  <w:style w:type="character" w:customStyle="1" w:styleId="NormalTok">
    <w:name w:val="NormalTok"/>
    <w:basedOn w:val="VerbatimChar"/>
    <w:rPr/>
  </w:style>
</w:styles>
</file>

<file path=word/webSettings.xml><?xml version="1.0" encoding="utf-8"?>
<ns0:webSettings xmlns:ns0="http://schemas.openxmlformats.org/wordprocessingml/2006/main">
  <ns0:allowPNG/>
  <ns0:doNotSaveAsSingleFile/>
</ns0:webSettings>
</file>

<file path=word/_rels/document.xml.rels><?xml version="1.0" encoding="UTF-8"?>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Relationship Type="http://schemas.openxmlformats.org/officeDocument/2006/relationships/comments" Id="rId8" Target="comments.xml" /><Relationship Type="http://schemas.openxmlformats.org/officeDocument/2006/relationships/image" Id="rId21" Target="media/rId21.png" /><Relationship Type="http://schemas.openxmlformats.org/officeDocument/2006/relationships/image" Id="rId23" Target="media/rId23.png" /><Relationship Type="http://schemas.openxmlformats.org/officeDocument/2006/relationships/image" Id="rId25" Target="media/rId25.png" /><Relationship Type="http://schemas.openxmlformats.org/officeDocument/2006/relationships/image" Id="rId26" Target="media/rId26.png" /><Relationship Type="http://schemas.openxmlformats.org/officeDocument/2006/relationships/image" Id="rId28" Target="media/rId28.png" /><Relationship Type="http://schemas.openxmlformats.org/officeDocument/2006/relationships/image" Id="rId30" Target="media/rId30.png" /><Relationship Type="http://schemas.openxmlformats.org/officeDocument/2006/relationships/image" Id="rId31" Target="media/rId31.png" /><Relationship Type="http://schemas.openxmlformats.org/officeDocument/2006/relationships/image" Id="rId32" Target="media/rId32.png" /><Relationship Type="http://schemas.openxmlformats.org/officeDocument/2006/relationships/image" Id="rId34" Target="media/rId34.png" /><Relationship Type="http://schemas.openxmlformats.org/officeDocument/2006/relationships/image" Id="rId35" Target="media/rId35.png" /><Relationship Type="http://schemas.openxmlformats.org/officeDocument/2006/relationships/image" Id="rId36" Target="media/rId36.png" /><Relationship Type="http://schemas.openxmlformats.org/officeDocument/2006/relationships/image" Id="rId33" Target="media/rId33.png" /><Relationship Type="http://schemas.openxmlformats.org/officeDocument/2006/relationships/image" Id="rId37" Target="media/rId37.png" /></Relationships>
</file>

<file path=word/_rels/footnotes.xml.rels><?xml version="1.0" encoding="UTF-8"?>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Words>83</Words>
  <SharedDoc>false</SharedDoc>
  <HyperlinksChanged>false</HyperlinksChanged>
  <Lines>12</Lines>
  <AppVersion>12.0000</AppVersion>
  <LinksUpToDate>false</LinksUpToDate>
  <Application>Microsoft Word 12.0.0</Application>
  <CharactersWithSpaces>583</CharactersWithSpaces>
  <Template>Normal.dotm</Template>
  <DocSecurity>0</DocSecurity>
  <TotalTime>6</TotalTime>
  <ScaleCrop>false</ScaleCrop>
  <Characters>475</Characters>
  <Paragraphs>8</Paragraphs>
  <Pages>1</Pag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dcterms:created xsi:type="dcterms:W3CDTF">2022-07-07T13:55:18Z</dcterms:created>
  <dcterms:modified xsi:type="dcterms:W3CDTF">2022-07-07T13:55:18Z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